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557A0" w14:textId="18E02C88" w:rsidR="008F4E3E" w:rsidRPr="008F4E3E" w:rsidRDefault="00ED22E9" w:rsidP="008F4E3E">
      <w:pPr>
        <w:autoSpaceDE w:val="0"/>
        <w:autoSpaceDN w:val="0"/>
        <w:adjustRightInd w:val="0"/>
        <w:jc w:val="center"/>
        <w:rPr>
          <w:rFonts w:asciiTheme="majorBidi" w:hAnsiTheme="majorBidi" w:cstheme="majorBidi"/>
          <w:b/>
          <w:bCs/>
          <w:i/>
          <w:iCs/>
          <w:color w:val="000000"/>
          <w:sz w:val="40"/>
          <w:szCs w:val="40"/>
        </w:rPr>
      </w:pPr>
      <w:r>
        <w:rPr>
          <w:rFonts w:asciiTheme="majorBidi" w:hAnsiTheme="majorBidi" w:cstheme="majorBidi"/>
          <w:b/>
          <w:bCs/>
          <w:i/>
          <w:iCs/>
          <w:color w:val="000000"/>
          <w:sz w:val="40"/>
          <w:szCs w:val="40"/>
        </w:rPr>
        <w:t xml:space="preserve"> </w:t>
      </w:r>
      <w:r w:rsidR="008F4E3E" w:rsidRPr="008F4E3E">
        <w:rPr>
          <w:rFonts w:asciiTheme="majorBidi" w:hAnsiTheme="majorBidi" w:cstheme="majorBidi"/>
          <w:b/>
          <w:bCs/>
          <w:i/>
          <w:iCs/>
          <w:color w:val="000000"/>
          <w:sz w:val="40"/>
          <w:szCs w:val="40"/>
        </w:rPr>
        <w:t>CHAPTER (I)</w:t>
      </w:r>
      <w:r w:rsidR="006D59D9">
        <w:rPr>
          <w:rFonts w:asciiTheme="majorBidi" w:hAnsiTheme="majorBidi" w:cstheme="majorBidi"/>
          <w:b/>
          <w:bCs/>
          <w:i/>
          <w:iCs/>
          <w:color w:val="000000"/>
          <w:sz w:val="40"/>
          <w:szCs w:val="40"/>
        </w:rPr>
        <w:t>:</w:t>
      </w:r>
    </w:p>
    <w:p w14:paraId="14BF4036" w14:textId="77777777" w:rsidR="008F4E3E" w:rsidRPr="006D59D9" w:rsidRDefault="008F4E3E" w:rsidP="008F4E3E">
      <w:pPr>
        <w:autoSpaceDE w:val="0"/>
        <w:autoSpaceDN w:val="0"/>
        <w:adjustRightInd w:val="0"/>
        <w:jc w:val="center"/>
        <w:rPr>
          <w:rFonts w:asciiTheme="majorBidi" w:hAnsiTheme="majorBidi" w:cstheme="majorBidi"/>
          <w:b/>
          <w:bCs/>
          <w:i/>
          <w:iCs/>
          <w:color w:val="000000"/>
          <w:sz w:val="40"/>
          <w:szCs w:val="40"/>
          <w:u w:val="single"/>
        </w:rPr>
      </w:pPr>
      <w:r w:rsidRPr="006D59D9">
        <w:rPr>
          <w:rFonts w:asciiTheme="majorBidi" w:hAnsiTheme="majorBidi" w:cstheme="majorBidi"/>
          <w:b/>
          <w:bCs/>
          <w:i/>
          <w:iCs/>
          <w:color w:val="000000"/>
          <w:sz w:val="40"/>
          <w:szCs w:val="40"/>
          <w:u w:val="single"/>
        </w:rPr>
        <w:t>BLADDER CANCER</w:t>
      </w:r>
    </w:p>
    <w:p w14:paraId="080F1C1B" w14:textId="77777777" w:rsidR="008F4E3E" w:rsidRPr="008F4E3E" w:rsidRDefault="008F4E3E" w:rsidP="00C226F7">
      <w:pPr>
        <w:autoSpaceDE w:val="0"/>
        <w:autoSpaceDN w:val="0"/>
        <w:adjustRightInd w:val="0"/>
        <w:ind w:firstLine="0"/>
        <w:rPr>
          <w:rFonts w:asciiTheme="majorBidi" w:hAnsiTheme="majorBidi" w:cstheme="majorBidi"/>
          <w:b/>
          <w:bCs/>
          <w:color w:val="000000"/>
          <w:sz w:val="36"/>
          <w:szCs w:val="36"/>
        </w:rPr>
      </w:pPr>
      <w:r w:rsidRPr="00B52090">
        <w:rPr>
          <w:rFonts w:asciiTheme="majorBidi" w:hAnsiTheme="majorBidi" w:cstheme="majorBidi"/>
          <w:b/>
          <w:bCs/>
          <w:color w:val="000000"/>
          <w:sz w:val="36"/>
          <w:szCs w:val="36"/>
          <w:u w:val="single"/>
        </w:rPr>
        <w:t>Introduction</w:t>
      </w:r>
      <w:r w:rsidRPr="008F4E3E">
        <w:rPr>
          <w:rFonts w:asciiTheme="majorBidi" w:hAnsiTheme="majorBidi" w:cstheme="majorBidi"/>
          <w:b/>
          <w:bCs/>
          <w:color w:val="000000"/>
          <w:sz w:val="36"/>
          <w:szCs w:val="36"/>
        </w:rPr>
        <w:t>:</w:t>
      </w:r>
    </w:p>
    <w:p w14:paraId="46B5EC09" w14:textId="77777777" w:rsidR="00B52090" w:rsidRDefault="008F4E3E" w:rsidP="00B52090">
      <w:pPr>
        <w:autoSpaceDE w:val="0"/>
        <w:autoSpaceDN w:val="0"/>
        <w:adjustRightInd w:val="0"/>
        <w:spacing w:before="120" w:after="120"/>
        <w:rPr>
          <w:rFonts w:asciiTheme="majorBidi" w:hAnsiTheme="majorBidi" w:cstheme="majorBidi"/>
          <w:color w:val="000000"/>
          <w:sz w:val="28"/>
          <w:szCs w:val="28"/>
        </w:rPr>
      </w:pPr>
      <w:r w:rsidRPr="008F4E3E">
        <w:rPr>
          <w:rFonts w:asciiTheme="majorBidi" w:hAnsiTheme="majorBidi" w:cstheme="majorBidi"/>
          <w:color w:val="000000"/>
          <w:sz w:val="28"/>
          <w:szCs w:val="28"/>
        </w:rPr>
        <w:t xml:space="preserve">Bladder cancer (BC) is a heterogeneous disease with a variable natural history. </w:t>
      </w:r>
      <w:r w:rsidR="00B52090">
        <w:rPr>
          <w:rFonts w:asciiTheme="majorBidi" w:hAnsiTheme="majorBidi" w:cstheme="majorBidi"/>
          <w:color w:val="000000"/>
          <w:sz w:val="28"/>
          <w:szCs w:val="32"/>
        </w:rPr>
        <w:t>It is</w:t>
      </w:r>
      <w:r w:rsidR="00B52090" w:rsidRPr="00F06CA0">
        <w:rPr>
          <w:rFonts w:asciiTheme="majorBidi" w:hAnsiTheme="majorBidi" w:cstheme="majorBidi"/>
          <w:color w:val="000000"/>
          <w:sz w:val="28"/>
          <w:szCs w:val="32"/>
        </w:rPr>
        <w:t xml:space="preserve"> one</w:t>
      </w:r>
      <w:r w:rsidR="00B52090">
        <w:rPr>
          <w:rFonts w:asciiTheme="majorBidi" w:hAnsiTheme="majorBidi" w:cstheme="majorBidi"/>
          <w:color w:val="000000"/>
          <w:sz w:val="28"/>
          <w:szCs w:val="32"/>
        </w:rPr>
        <w:t xml:space="preserve"> of the most prevalent urologic </w:t>
      </w:r>
      <w:r w:rsidR="00B52090" w:rsidRPr="00F06CA0">
        <w:rPr>
          <w:rFonts w:asciiTheme="majorBidi" w:hAnsiTheme="majorBidi" w:cstheme="majorBidi"/>
          <w:color w:val="000000"/>
          <w:sz w:val="28"/>
          <w:szCs w:val="32"/>
        </w:rPr>
        <w:t>malignancies worldwide</w:t>
      </w:r>
      <w:r w:rsidR="00B52090">
        <w:rPr>
          <w:rFonts w:asciiTheme="majorBidi" w:hAnsiTheme="majorBidi" w:cstheme="majorBidi"/>
          <w:color w:val="000000"/>
          <w:sz w:val="28"/>
          <w:szCs w:val="32"/>
        </w:rPr>
        <w:t xml:space="preserve"> </w:t>
      </w:r>
      <w:r w:rsidR="00B52090" w:rsidRPr="00BE7B54">
        <w:rPr>
          <w:rFonts w:asciiTheme="majorBidi" w:hAnsiTheme="majorBidi" w:cstheme="majorBidi"/>
          <w:b/>
          <w:bCs/>
          <w:i/>
          <w:iCs/>
          <w:color w:val="000000"/>
          <w:sz w:val="28"/>
          <w:szCs w:val="32"/>
        </w:rPr>
        <w:t>(</w:t>
      </w:r>
      <w:r w:rsidR="00B52090" w:rsidRPr="00F06CA0">
        <w:rPr>
          <w:rFonts w:asciiTheme="majorBidi" w:hAnsiTheme="majorBidi" w:cstheme="majorBidi"/>
          <w:b/>
          <w:bCs/>
          <w:i/>
          <w:iCs/>
          <w:color w:val="000000"/>
          <w:sz w:val="28"/>
          <w:szCs w:val="32"/>
        </w:rPr>
        <w:t>Antoni</w:t>
      </w:r>
      <w:r w:rsidR="00B52090">
        <w:rPr>
          <w:rFonts w:asciiTheme="majorBidi" w:hAnsiTheme="majorBidi" w:cstheme="majorBidi"/>
          <w:b/>
          <w:bCs/>
          <w:i/>
          <w:iCs/>
          <w:color w:val="000000"/>
          <w:sz w:val="28"/>
          <w:szCs w:val="32"/>
        </w:rPr>
        <w:t xml:space="preserve"> </w:t>
      </w:r>
      <w:r w:rsidR="00B52090" w:rsidRPr="00BE7B54">
        <w:rPr>
          <w:rFonts w:asciiTheme="majorBidi" w:hAnsiTheme="majorBidi" w:cstheme="majorBidi"/>
          <w:b/>
          <w:bCs/>
          <w:i/>
          <w:iCs/>
          <w:color w:val="000000"/>
          <w:sz w:val="28"/>
          <w:szCs w:val="32"/>
        </w:rPr>
        <w:t>et al., 201</w:t>
      </w:r>
      <w:r w:rsidR="00B52090">
        <w:rPr>
          <w:rFonts w:asciiTheme="majorBidi" w:hAnsiTheme="majorBidi" w:cstheme="majorBidi"/>
          <w:b/>
          <w:bCs/>
          <w:i/>
          <w:iCs/>
          <w:color w:val="000000"/>
          <w:sz w:val="28"/>
          <w:szCs w:val="32"/>
        </w:rPr>
        <w:t>7</w:t>
      </w:r>
      <w:r w:rsidR="00B52090" w:rsidRPr="00BE7B54">
        <w:rPr>
          <w:rFonts w:asciiTheme="majorBidi" w:hAnsiTheme="majorBidi" w:cstheme="majorBidi"/>
          <w:b/>
          <w:bCs/>
          <w:i/>
          <w:iCs/>
          <w:color w:val="000000"/>
          <w:sz w:val="28"/>
          <w:szCs w:val="32"/>
        </w:rPr>
        <w:t>)</w:t>
      </w:r>
      <w:r w:rsidR="00B52090" w:rsidRPr="00F06CA0">
        <w:rPr>
          <w:rFonts w:asciiTheme="majorBidi" w:hAnsiTheme="majorBidi" w:cstheme="majorBidi"/>
          <w:color w:val="000000"/>
          <w:sz w:val="28"/>
          <w:szCs w:val="32"/>
        </w:rPr>
        <w:t>.</w:t>
      </w:r>
      <w:r w:rsidR="00B52090">
        <w:rPr>
          <w:rFonts w:asciiTheme="majorBidi" w:hAnsiTheme="majorBidi" w:cstheme="majorBidi"/>
          <w:color w:val="000000"/>
          <w:sz w:val="28"/>
          <w:szCs w:val="32"/>
        </w:rPr>
        <w:t xml:space="preserve"> </w:t>
      </w:r>
      <w:r w:rsidRPr="008F4E3E">
        <w:rPr>
          <w:rFonts w:asciiTheme="majorBidi" w:hAnsiTheme="majorBidi" w:cstheme="majorBidi"/>
          <w:color w:val="000000"/>
          <w:sz w:val="28"/>
          <w:szCs w:val="28"/>
        </w:rPr>
        <w:t>At one end of the spectrum, low-grade tumors have a low progression rate and require initial endoscopic treatment and surveillance</w:t>
      </w:r>
      <w:r>
        <w:rPr>
          <w:rFonts w:asciiTheme="majorBidi" w:hAnsiTheme="majorBidi" w:cstheme="majorBidi"/>
          <w:color w:val="000000"/>
          <w:sz w:val="28"/>
          <w:szCs w:val="28"/>
        </w:rPr>
        <w:t xml:space="preserve"> </w:t>
      </w:r>
      <w:r w:rsidRPr="008F4E3E">
        <w:rPr>
          <w:rFonts w:asciiTheme="majorBidi" w:hAnsiTheme="majorBidi" w:cstheme="majorBidi"/>
          <w:color w:val="000000"/>
          <w:sz w:val="28"/>
          <w:szCs w:val="28"/>
        </w:rPr>
        <w:t>but rarely present a threat to the patient. At the other extreme, high-grade tumors have a high malignant potential associated with significant progression and cancer death rates</w:t>
      </w:r>
      <w:r w:rsidR="0029628A" w:rsidRPr="0029628A">
        <w:rPr>
          <w:rFonts w:asciiTheme="majorBidi" w:hAnsiTheme="majorBidi" w:cstheme="majorBidi"/>
          <w:color w:val="000000"/>
          <w:sz w:val="28"/>
          <w:szCs w:val="28"/>
        </w:rPr>
        <w:t xml:space="preserve"> approximately</w:t>
      </w:r>
      <w:r w:rsidR="0029628A">
        <w:rPr>
          <w:rFonts w:asciiTheme="majorBidi" w:hAnsiTheme="majorBidi" w:cstheme="majorBidi"/>
          <w:color w:val="000000"/>
          <w:sz w:val="28"/>
          <w:szCs w:val="28"/>
        </w:rPr>
        <w:t xml:space="preserve"> </w:t>
      </w:r>
      <w:r w:rsidR="0029628A" w:rsidRPr="0029628A">
        <w:rPr>
          <w:rFonts w:asciiTheme="majorBidi" w:hAnsiTheme="majorBidi" w:cstheme="majorBidi"/>
          <w:color w:val="000000"/>
          <w:sz w:val="28"/>
          <w:szCs w:val="28"/>
        </w:rPr>
        <w:t>30% of all newly diagnosed patients present with muscle-invasive BC (MIBC)</w:t>
      </w:r>
      <w:r w:rsidR="00512638">
        <w:rPr>
          <w:rFonts w:asciiTheme="majorBidi" w:hAnsiTheme="majorBidi" w:cstheme="majorBidi"/>
          <w:color w:val="000000"/>
          <w:sz w:val="28"/>
          <w:szCs w:val="28"/>
        </w:rPr>
        <w:t>,</w:t>
      </w:r>
      <w:r w:rsidR="0029628A" w:rsidRPr="0029628A">
        <w:rPr>
          <w:rFonts w:asciiTheme="majorBidi" w:hAnsiTheme="majorBidi" w:cstheme="majorBidi"/>
          <w:color w:val="000000"/>
          <w:sz w:val="28"/>
          <w:szCs w:val="28"/>
        </w:rPr>
        <w:t xml:space="preserve"> of them 50%</w:t>
      </w:r>
      <w:r w:rsidR="0029628A">
        <w:rPr>
          <w:rFonts w:asciiTheme="majorBidi" w:hAnsiTheme="majorBidi" w:cstheme="majorBidi"/>
          <w:color w:val="000000"/>
          <w:sz w:val="28"/>
          <w:szCs w:val="28"/>
        </w:rPr>
        <w:t xml:space="preserve"> </w:t>
      </w:r>
      <w:r w:rsidR="0029628A" w:rsidRPr="0029628A">
        <w:rPr>
          <w:rFonts w:asciiTheme="majorBidi" w:hAnsiTheme="majorBidi" w:cstheme="majorBidi"/>
          <w:color w:val="000000"/>
          <w:sz w:val="28"/>
          <w:szCs w:val="28"/>
        </w:rPr>
        <w:t>will develop distant metastasis</w:t>
      </w:r>
      <w:r w:rsidRPr="008F4E3E">
        <w:rPr>
          <w:rFonts w:asciiTheme="majorBidi" w:hAnsiTheme="majorBidi" w:cstheme="majorBidi"/>
          <w:color w:val="000000"/>
          <w:sz w:val="28"/>
          <w:szCs w:val="28"/>
        </w:rPr>
        <w:t xml:space="preserve"> </w:t>
      </w:r>
      <w:r w:rsidRPr="008F4E3E">
        <w:rPr>
          <w:rFonts w:asciiTheme="majorBidi" w:hAnsiTheme="majorBidi" w:cstheme="majorBidi"/>
          <w:b/>
          <w:bCs/>
          <w:i/>
          <w:iCs/>
          <w:color w:val="000000"/>
          <w:sz w:val="28"/>
          <w:szCs w:val="28"/>
        </w:rPr>
        <w:t>(</w:t>
      </w:r>
      <w:r w:rsidR="0029628A" w:rsidRPr="0029628A">
        <w:rPr>
          <w:rFonts w:asciiTheme="majorBidi" w:hAnsiTheme="majorBidi" w:cstheme="majorBidi"/>
          <w:b/>
          <w:bCs/>
          <w:i/>
          <w:iCs/>
          <w:color w:val="000000"/>
          <w:sz w:val="28"/>
          <w:szCs w:val="28"/>
        </w:rPr>
        <w:t xml:space="preserve">Witjes </w:t>
      </w:r>
      <w:r w:rsidRPr="008F4E3E">
        <w:rPr>
          <w:rFonts w:asciiTheme="majorBidi" w:hAnsiTheme="majorBidi" w:cstheme="majorBidi"/>
          <w:b/>
          <w:bCs/>
          <w:i/>
          <w:iCs/>
          <w:color w:val="000000"/>
          <w:sz w:val="28"/>
          <w:szCs w:val="28"/>
        </w:rPr>
        <w:t>et al., 20</w:t>
      </w:r>
      <w:r w:rsidR="0029628A">
        <w:rPr>
          <w:rFonts w:asciiTheme="majorBidi" w:hAnsiTheme="majorBidi" w:cstheme="majorBidi"/>
          <w:b/>
          <w:bCs/>
          <w:i/>
          <w:iCs/>
          <w:color w:val="000000"/>
          <w:sz w:val="28"/>
          <w:szCs w:val="28"/>
        </w:rPr>
        <w:t>14</w:t>
      </w:r>
      <w:r w:rsidRPr="008F4E3E">
        <w:rPr>
          <w:rFonts w:asciiTheme="majorBidi" w:hAnsiTheme="majorBidi" w:cstheme="majorBidi"/>
          <w:b/>
          <w:bCs/>
          <w:i/>
          <w:iCs/>
          <w:color w:val="000000"/>
          <w:sz w:val="28"/>
          <w:szCs w:val="28"/>
        </w:rPr>
        <w:t>)</w:t>
      </w:r>
      <w:r w:rsidRPr="008F4E3E">
        <w:rPr>
          <w:rFonts w:asciiTheme="majorBidi" w:hAnsiTheme="majorBidi" w:cstheme="majorBidi"/>
          <w:i/>
          <w:iCs/>
          <w:color w:val="000000"/>
          <w:sz w:val="28"/>
          <w:szCs w:val="28"/>
        </w:rPr>
        <w:t>.</w:t>
      </w:r>
      <w:r w:rsidR="0029628A" w:rsidRPr="0029628A">
        <w:rPr>
          <w:rFonts w:asciiTheme="majorBidi" w:hAnsiTheme="majorBidi" w:cstheme="majorBidi"/>
          <w:color w:val="000000"/>
          <w:sz w:val="28"/>
          <w:szCs w:val="28"/>
        </w:rPr>
        <w:t xml:space="preserve"> </w:t>
      </w:r>
    </w:p>
    <w:p w14:paraId="4C2CDFE6" w14:textId="77777777" w:rsidR="00B52090" w:rsidRPr="00D57D07" w:rsidRDefault="000C5412" w:rsidP="00D57D07">
      <w:pPr>
        <w:pStyle w:val="ListParagraph"/>
        <w:spacing w:before="240" w:after="240" w:line="360" w:lineRule="auto"/>
        <w:ind w:left="0" w:firstLine="709"/>
        <w:jc w:val="both"/>
        <w:rPr>
          <w:rFonts w:asciiTheme="majorBidi" w:hAnsiTheme="majorBidi" w:cstheme="majorBidi"/>
          <w:color w:val="000000"/>
          <w:sz w:val="28"/>
          <w:szCs w:val="32"/>
        </w:rPr>
      </w:pPr>
      <w:r w:rsidRPr="00F06CA0">
        <w:rPr>
          <w:rFonts w:asciiTheme="majorBidi" w:hAnsiTheme="majorBidi" w:cstheme="majorBidi"/>
          <w:color w:val="000000"/>
          <w:sz w:val="28"/>
          <w:szCs w:val="32"/>
        </w:rPr>
        <w:t xml:space="preserve">There is a critical need to implement new tests into clinical practice to improve the quality of clinical care, decrease unnecessary invasive therapies and ultimately save costs. </w:t>
      </w:r>
      <w:r w:rsidR="00A25A80" w:rsidRPr="00A25A80">
        <w:rPr>
          <w:rFonts w:asciiTheme="majorBidi" w:hAnsiTheme="majorBidi" w:cstheme="majorBidi"/>
          <w:color w:val="000000"/>
          <w:sz w:val="28"/>
          <w:szCs w:val="32"/>
        </w:rPr>
        <w:t xml:space="preserve">BC detection requires unpleasant and expensive cystoscopy and biopsy, which are often accompanied by several adverse effects. </w:t>
      </w:r>
      <w:r w:rsidR="00A25A80" w:rsidRPr="00F06CA0">
        <w:rPr>
          <w:rFonts w:asciiTheme="majorBidi" w:hAnsiTheme="majorBidi" w:cstheme="majorBidi"/>
          <w:color w:val="000000"/>
          <w:sz w:val="28"/>
          <w:szCs w:val="32"/>
        </w:rPr>
        <w:t>Currently, no mol</w:t>
      </w:r>
      <w:r w:rsidR="00A25A80">
        <w:rPr>
          <w:rFonts w:asciiTheme="majorBidi" w:hAnsiTheme="majorBidi" w:cstheme="majorBidi"/>
          <w:color w:val="000000"/>
          <w:sz w:val="28"/>
          <w:szCs w:val="32"/>
        </w:rPr>
        <w:t xml:space="preserve">ecular or </w:t>
      </w:r>
      <w:r w:rsidR="00A25A80" w:rsidRPr="00F06CA0">
        <w:rPr>
          <w:rFonts w:asciiTheme="majorBidi" w:hAnsiTheme="majorBidi" w:cstheme="majorBidi"/>
          <w:color w:val="000000"/>
          <w:sz w:val="28"/>
          <w:szCs w:val="32"/>
        </w:rPr>
        <w:t>genetic biomarker has been widely integrated into daily clinical practice</w:t>
      </w:r>
      <w:r w:rsidR="00A25A80">
        <w:rPr>
          <w:rFonts w:asciiTheme="majorBidi" w:hAnsiTheme="majorBidi" w:cstheme="majorBidi"/>
          <w:color w:val="000000"/>
          <w:sz w:val="28"/>
          <w:szCs w:val="32"/>
        </w:rPr>
        <w:t>.</w:t>
      </w:r>
      <w:r w:rsidR="00A25A80" w:rsidRPr="00A25A80">
        <w:rPr>
          <w:rFonts w:asciiTheme="majorBidi" w:hAnsiTheme="majorBidi" w:cstheme="majorBidi"/>
          <w:color w:val="000000"/>
          <w:sz w:val="28"/>
          <w:szCs w:val="32"/>
        </w:rPr>
        <w:t xml:space="preserve"> So, there is an urgent need to develop novel diagnostic methods for initial detection and surveillance in both MIBCs and NMIBCs</w:t>
      </w:r>
      <w:r w:rsidRPr="00F06CA0">
        <w:rPr>
          <w:rFonts w:asciiTheme="majorBidi" w:hAnsiTheme="majorBidi" w:cstheme="majorBidi"/>
          <w:b/>
          <w:bCs/>
          <w:i/>
          <w:iCs/>
          <w:color w:val="000000"/>
          <w:sz w:val="28"/>
          <w:szCs w:val="32"/>
        </w:rPr>
        <w:t xml:space="preserve"> (Santoni et al., 2018)</w:t>
      </w:r>
      <w:r w:rsidRPr="00F06CA0">
        <w:rPr>
          <w:rFonts w:asciiTheme="majorBidi" w:hAnsiTheme="majorBidi" w:cstheme="majorBidi"/>
          <w:color w:val="000000"/>
          <w:sz w:val="28"/>
          <w:szCs w:val="32"/>
        </w:rPr>
        <w:t>.</w:t>
      </w:r>
    </w:p>
    <w:p w14:paraId="70965118" w14:textId="77777777" w:rsidR="008F4E3E" w:rsidRPr="00B52090" w:rsidRDefault="008F4E3E" w:rsidP="00B52090">
      <w:pPr>
        <w:autoSpaceDE w:val="0"/>
        <w:autoSpaceDN w:val="0"/>
        <w:adjustRightInd w:val="0"/>
        <w:spacing w:before="120" w:after="120"/>
        <w:ind w:firstLine="0"/>
        <w:rPr>
          <w:rFonts w:asciiTheme="majorBidi" w:hAnsiTheme="majorBidi" w:cstheme="majorBidi"/>
          <w:color w:val="000000"/>
          <w:sz w:val="28"/>
          <w:szCs w:val="28"/>
        </w:rPr>
      </w:pPr>
      <w:r w:rsidRPr="00B52090">
        <w:rPr>
          <w:rFonts w:asciiTheme="majorBidi" w:hAnsiTheme="majorBidi" w:cstheme="majorBidi"/>
          <w:b/>
          <w:bCs/>
          <w:color w:val="000000"/>
          <w:sz w:val="36"/>
          <w:szCs w:val="36"/>
          <w:u w:val="single"/>
        </w:rPr>
        <w:t>Incidence and Epidemiology:</w:t>
      </w:r>
    </w:p>
    <w:p w14:paraId="51B1FE0E" w14:textId="77777777" w:rsidR="00A25A80" w:rsidRPr="00BD2DAA" w:rsidRDefault="00A25A80" w:rsidP="00A25A80">
      <w:pPr>
        <w:pStyle w:val="ListParagraph"/>
        <w:spacing w:before="240" w:after="240" w:line="360" w:lineRule="auto"/>
        <w:ind w:left="0" w:firstLine="720"/>
        <w:jc w:val="both"/>
        <w:rPr>
          <w:rFonts w:asciiTheme="majorBidi" w:hAnsiTheme="majorBidi" w:cstheme="majorBidi"/>
          <w:b/>
          <w:bCs/>
          <w:i/>
          <w:iCs/>
          <w:sz w:val="28"/>
          <w:szCs w:val="28"/>
        </w:rPr>
      </w:pPr>
      <w:r w:rsidRPr="00BD2DAA">
        <w:rPr>
          <w:rFonts w:asciiTheme="majorBidi" w:hAnsiTheme="majorBidi" w:cstheme="majorBidi"/>
          <w:color w:val="000000"/>
          <w:sz w:val="28"/>
          <w:szCs w:val="32"/>
        </w:rPr>
        <w:t xml:space="preserve">Bladder cancer </w:t>
      </w:r>
      <w:r w:rsidRPr="00EB190C">
        <w:rPr>
          <w:rFonts w:asciiTheme="majorBidi" w:hAnsiTheme="majorBidi" w:cstheme="majorBidi"/>
          <w:color w:val="000000"/>
          <w:sz w:val="28"/>
          <w:szCs w:val="32"/>
        </w:rPr>
        <w:t xml:space="preserve">is the </w:t>
      </w:r>
      <w:r>
        <w:rPr>
          <w:rFonts w:asciiTheme="majorBidi" w:hAnsiTheme="majorBidi" w:cstheme="majorBidi"/>
          <w:color w:val="000000"/>
          <w:sz w:val="28"/>
          <w:szCs w:val="32"/>
        </w:rPr>
        <w:t>10</w:t>
      </w:r>
      <w:r w:rsidRPr="00EB190C">
        <w:rPr>
          <w:rFonts w:asciiTheme="majorBidi" w:hAnsiTheme="majorBidi" w:cstheme="majorBidi"/>
          <w:color w:val="000000"/>
          <w:sz w:val="28"/>
          <w:szCs w:val="32"/>
        </w:rPr>
        <w:t>th most common cancer worldwide</w:t>
      </w:r>
      <w:r>
        <w:rPr>
          <w:rFonts w:asciiTheme="majorBidi" w:hAnsiTheme="majorBidi" w:cstheme="majorBidi"/>
          <w:color w:val="000000"/>
          <w:sz w:val="28"/>
          <w:szCs w:val="32"/>
        </w:rPr>
        <w:t xml:space="preserve">. It </w:t>
      </w:r>
      <w:r w:rsidRPr="00BD2DAA">
        <w:rPr>
          <w:rFonts w:asciiTheme="majorBidi" w:hAnsiTheme="majorBidi" w:cstheme="majorBidi"/>
          <w:color w:val="000000"/>
          <w:sz w:val="28"/>
          <w:szCs w:val="32"/>
        </w:rPr>
        <w:t xml:space="preserve">is considered the second most common malignancy of the genitourinary tract. For the year 2019, the American Cancer Society estimates 80,470 new bladder cancer cases in the United States, and 17,670 bladder cancer related deaths. It </w:t>
      </w:r>
      <w:r w:rsidRPr="00BD2DAA">
        <w:rPr>
          <w:rFonts w:asciiTheme="majorBidi" w:hAnsiTheme="majorBidi" w:cstheme="majorBidi"/>
          <w:color w:val="000000"/>
          <w:sz w:val="28"/>
          <w:szCs w:val="32"/>
        </w:rPr>
        <w:lastRenderedPageBreak/>
        <w:t xml:space="preserve">has been demonstrated that urinary bladder cancer accounts for &gt;5% of newly diagnosed tumors in European countries </w:t>
      </w:r>
      <w:r w:rsidRPr="00BD2DAA">
        <w:rPr>
          <w:rFonts w:asciiTheme="majorBidi" w:hAnsiTheme="majorBidi" w:cstheme="majorBidi"/>
          <w:b/>
          <w:bCs/>
          <w:i/>
          <w:iCs/>
          <w:sz w:val="28"/>
          <w:szCs w:val="28"/>
        </w:rPr>
        <w:t>(</w:t>
      </w:r>
      <w:hyperlink r:id="rId8" w:history="1">
        <w:r w:rsidRPr="00BD2DAA">
          <w:rPr>
            <w:rFonts w:asciiTheme="majorBidi" w:hAnsiTheme="majorBidi" w:cstheme="majorBidi"/>
            <w:b/>
            <w:bCs/>
            <w:i/>
            <w:iCs/>
            <w:sz w:val="28"/>
            <w:szCs w:val="28"/>
          </w:rPr>
          <w:t>Siegel</w:t>
        </w:r>
      </w:hyperlink>
      <w:r w:rsidRPr="00BD2DAA">
        <w:rPr>
          <w:rFonts w:asciiTheme="majorBidi" w:hAnsiTheme="majorBidi" w:cstheme="majorBidi"/>
          <w:b/>
          <w:bCs/>
          <w:i/>
          <w:iCs/>
          <w:sz w:val="28"/>
          <w:szCs w:val="28"/>
        </w:rPr>
        <w:t xml:space="preserve"> et al., 2019).</w:t>
      </w:r>
    </w:p>
    <w:p w14:paraId="346C2E23" w14:textId="45F1ECB3" w:rsidR="00A25A80" w:rsidRPr="0068512B" w:rsidRDefault="00A25A80" w:rsidP="008A6F49">
      <w:pPr>
        <w:pStyle w:val="ListParagraph"/>
        <w:spacing w:before="240" w:after="240" w:line="360" w:lineRule="auto"/>
        <w:ind w:left="0" w:firstLine="720"/>
        <w:jc w:val="both"/>
        <w:rPr>
          <w:rFonts w:asciiTheme="majorBidi" w:hAnsiTheme="majorBidi" w:cstheme="majorBidi"/>
          <w:b/>
          <w:bCs/>
          <w:i/>
          <w:iCs/>
          <w:sz w:val="28"/>
          <w:szCs w:val="28"/>
        </w:rPr>
      </w:pPr>
      <w:r w:rsidRPr="00BD2DAA">
        <w:rPr>
          <w:rFonts w:asciiTheme="majorBidi" w:hAnsiTheme="majorBidi" w:cstheme="majorBidi"/>
          <w:color w:val="000000"/>
          <w:sz w:val="28"/>
          <w:szCs w:val="32"/>
        </w:rPr>
        <w:t>It is the fourth most common cancer in men, occurring less frequently in women. The incidence of urinary bladder cancer is increased in de</w:t>
      </w:r>
      <w:r>
        <w:rPr>
          <w:rFonts w:asciiTheme="majorBidi" w:hAnsiTheme="majorBidi" w:cstheme="majorBidi"/>
          <w:color w:val="000000"/>
          <w:sz w:val="28"/>
          <w:szCs w:val="32"/>
        </w:rPr>
        <w:t xml:space="preserve">veloped countries compared with </w:t>
      </w:r>
      <w:r w:rsidRPr="00BD2DAA">
        <w:rPr>
          <w:rFonts w:asciiTheme="majorBidi" w:hAnsiTheme="majorBidi" w:cstheme="majorBidi"/>
          <w:color w:val="000000"/>
          <w:sz w:val="28"/>
          <w:szCs w:val="32"/>
        </w:rPr>
        <w:t>less developed regions, accounting for 5% of all new cancer cases in the United States</w:t>
      </w:r>
      <w:r>
        <w:t xml:space="preserve"> </w:t>
      </w:r>
      <w:r w:rsidRPr="002C32E0">
        <w:rPr>
          <w:rFonts w:asciiTheme="majorBidi" w:hAnsiTheme="majorBidi" w:cstheme="majorBidi"/>
          <w:b/>
          <w:bCs/>
          <w:i/>
          <w:iCs/>
          <w:sz w:val="28"/>
          <w:szCs w:val="28"/>
        </w:rPr>
        <w:t>(Bray et al., 2018)</w:t>
      </w:r>
      <w:r>
        <w:rPr>
          <w:rFonts w:asciiTheme="majorBidi" w:hAnsiTheme="majorBidi" w:cstheme="majorBidi"/>
          <w:b/>
          <w:bCs/>
          <w:i/>
          <w:iCs/>
          <w:sz w:val="28"/>
          <w:szCs w:val="28"/>
        </w:rPr>
        <w:t xml:space="preserve">. </w:t>
      </w:r>
      <w:r>
        <w:rPr>
          <w:rFonts w:asciiTheme="majorBidi" w:hAnsiTheme="majorBidi" w:cstheme="majorBidi"/>
          <w:color w:val="000000"/>
          <w:sz w:val="28"/>
          <w:szCs w:val="32"/>
        </w:rPr>
        <w:t>BC</w:t>
      </w:r>
      <w:r w:rsidRPr="0068512B">
        <w:rPr>
          <w:rFonts w:asciiTheme="majorBidi" w:hAnsiTheme="majorBidi" w:cstheme="majorBidi"/>
          <w:color w:val="000000"/>
          <w:sz w:val="28"/>
          <w:szCs w:val="32"/>
        </w:rPr>
        <w:t xml:space="preserve"> prevalence increases with age</w:t>
      </w:r>
      <w:r w:rsidR="008A6F49">
        <w:rPr>
          <w:rFonts w:asciiTheme="majorBidi" w:hAnsiTheme="majorBidi" w:cstheme="majorBidi"/>
          <w:color w:val="000000"/>
          <w:sz w:val="28"/>
          <w:szCs w:val="32"/>
        </w:rPr>
        <w:t>.</w:t>
      </w:r>
      <w:r w:rsidRPr="0068512B">
        <w:rPr>
          <w:rFonts w:asciiTheme="majorBidi" w:hAnsiTheme="majorBidi" w:cstheme="majorBidi"/>
          <w:color w:val="000000"/>
          <w:sz w:val="28"/>
          <w:szCs w:val="32"/>
        </w:rPr>
        <w:t xml:space="preserve"> About 90% of bladder cancer occurs at age 55 years or </w:t>
      </w:r>
      <w:proofErr w:type="gramStart"/>
      <w:r w:rsidRPr="0068512B">
        <w:rPr>
          <w:rFonts w:asciiTheme="majorBidi" w:hAnsiTheme="majorBidi" w:cstheme="majorBidi"/>
          <w:color w:val="000000"/>
          <w:sz w:val="28"/>
          <w:szCs w:val="32"/>
        </w:rPr>
        <w:t>older;</w:t>
      </w:r>
      <w:proofErr w:type="gramEnd"/>
      <w:r w:rsidRPr="0068512B">
        <w:rPr>
          <w:rFonts w:asciiTheme="majorBidi" w:hAnsiTheme="majorBidi" w:cstheme="majorBidi"/>
          <w:color w:val="000000"/>
          <w:sz w:val="28"/>
          <w:szCs w:val="32"/>
        </w:rPr>
        <w:t xml:space="preserve"> whereas only 1.8% of bladder cancer is developed at age younger than 40 years </w:t>
      </w:r>
      <w:r w:rsidR="008A6F49" w:rsidRPr="00B809CE">
        <w:rPr>
          <w:rFonts w:asciiTheme="majorBidi" w:hAnsiTheme="majorBidi" w:cstheme="majorBidi"/>
          <w:b/>
          <w:bCs/>
          <w:i/>
          <w:iCs/>
          <w:sz w:val="28"/>
          <w:szCs w:val="28"/>
        </w:rPr>
        <w:t>(Ferlay et al., 201</w:t>
      </w:r>
      <w:r w:rsidR="00704859">
        <w:rPr>
          <w:rFonts w:asciiTheme="majorBidi" w:hAnsiTheme="majorBidi" w:cstheme="majorBidi"/>
          <w:b/>
          <w:bCs/>
          <w:i/>
          <w:iCs/>
          <w:sz w:val="28"/>
          <w:szCs w:val="28"/>
        </w:rPr>
        <w:t>8</w:t>
      </w:r>
      <w:r w:rsidR="008A6F49" w:rsidRPr="00B809CE">
        <w:rPr>
          <w:rFonts w:asciiTheme="majorBidi" w:hAnsiTheme="majorBidi" w:cstheme="majorBidi"/>
          <w:b/>
          <w:bCs/>
          <w:i/>
          <w:iCs/>
          <w:sz w:val="28"/>
          <w:szCs w:val="28"/>
        </w:rPr>
        <w:t>)</w:t>
      </w:r>
      <w:r w:rsidR="008A6F49" w:rsidRPr="0068512B">
        <w:rPr>
          <w:rFonts w:asciiTheme="majorBidi" w:hAnsiTheme="majorBidi" w:cstheme="majorBidi"/>
          <w:color w:val="000000"/>
          <w:sz w:val="28"/>
          <w:szCs w:val="32"/>
        </w:rPr>
        <w:t>.</w:t>
      </w:r>
    </w:p>
    <w:p w14:paraId="3532C065" w14:textId="7DF93F48" w:rsidR="00A25A80" w:rsidRDefault="00A25A80" w:rsidP="00C5530F">
      <w:pPr>
        <w:pStyle w:val="ListParagraph"/>
        <w:spacing w:before="240" w:after="240" w:line="360" w:lineRule="auto"/>
        <w:ind w:left="0" w:firstLine="720"/>
        <w:jc w:val="both"/>
        <w:rPr>
          <w:rFonts w:asciiTheme="majorBidi" w:hAnsiTheme="majorBidi" w:cstheme="majorBidi"/>
          <w:b/>
          <w:bCs/>
          <w:i/>
          <w:iCs/>
          <w:color w:val="000000"/>
          <w:sz w:val="28"/>
          <w:szCs w:val="28"/>
        </w:rPr>
      </w:pPr>
      <w:r w:rsidRPr="00B809CE">
        <w:rPr>
          <w:rFonts w:asciiTheme="majorBidi" w:hAnsiTheme="majorBidi" w:cstheme="majorBidi"/>
          <w:color w:val="000000"/>
          <w:sz w:val="28"/>
          <w:szCs w:val="28"/>
        </w:rPr>
        <w:t>In Egypt, bladder cancer constituted about 7</w:t>
      </w:r>
      <w:r>
        <w:rPr>
          <w:rFonts w:asciiTheme="majorBidi" w:hAnsiTheme="majorBidi" w:cstheme="majorBidi"/>
          <w:color w:val="000000"/>
          <w:sz w:val="28"/>
          <w:szCs w:val="28"/>
        </w:rPr>
        <w:t>.2</w:t>
      </w:r>
      <w:r w:rsidRPr="00B809CE">
        <w:rPr>
          <w:rFonts w:asciiTheme="majorBidi" w:hAnsiTheme="majorBidi" w:cstheme="majorBidi"/>
          <w:color w:val="000000"/>
          <w:sz w:val="28"/>
          <w:szCs w:val="28"/>
        </w:rPr>
        <w:t xml:space="preserve">% of all </w:t>
      </w:r>
      <w:r>
        <w:rPr>
          <w:rFonts w:asciiTheme="majorBidi" w:hAnsiTheme="majorBidi" w:cstheme="majorBidi"/>
          <w:color w:val="000000"/>
          <w:sz w:val="28"/>
          <w:szCs w:val="28"/>
        </w:rPr>
        <w:t xml:space="preserve">new </w:t>
      </w:r>
      <w:r w:rsidRPr="00B809CE">
        <w:rPr>
          <w:rFonts w:asciiTheme="majorBidi" w:hAnsiTheme="majorBidi" w:cstheme="majorBidi"/>
          <w:color w:val="000000"/>
          <w:sz w:val="28"/>
          <w:szCs w:val="28"/>
        </w:rPr>
        <w:t xml:space="preserve">cancer cases </w:t>
      </w:r>
      <w:r>
        <w:rPr>
          <w:rFonts w:asciiTheme="majorBidi" w:hAnsiTheme="majorBidi" w:cstheme="majorBidi"/>
          <w:color w:val="000000"/>
          <w:sz w:val="28"/>
          <w:szCs w:val="28"/>
        </w:rPr>
        <w:t>discovered in</w:t>
      </w:r>
      <w:r w:rsidRPr="00B809CE">
        <w:rPr>
          <w:rFonts w:asciiTheme="majorBidi" w:hAnsiTheme="majorBidi" w:cstheme="majorBidi"/>
          <w:color w:val="000000"/>
          <w:sz w:val="28"/>
          <w:szCs w:val="28"/>
        </w:rPr>
        <w:t xml:space="preserve"> </w:t>
      </w:r>
      <w:r>
        <w:rPr>
          <w:rFonts w:asciiTheme="majorBidi" w:hAnsiTheme="majorBidi" w:cstheme="majorBidi"/>
          <w:color w:val="000000"/>
          <w:sz w:val="28"/>
          <w:szCs w:val="28"/>
        </w:rPr>
        <w:t>2018</w:t>
      </w:r>
      <w:r w:rsidRPr="00B809CE">
        <w:rPr>
          <w:rFonts w:asciiTheme="majorBidi" w:hAnsiTheme="majorBidi" w:cstheme="majorBidi"/>
          <w:color w:val="000000"/>
          <w:sz w:val="28"/>
          <w:szCs w:val="28"/>
        </w:rPr>
        <w:t>, and it was reported to be the second most common malignancy in males after hepatocellular carcinoma (HCC)</w:t>
      </w:r>
      <w:r w:rsidR="00C5530F">
        <w:rPr>
          <w:rFonts w:asciiTheme="majorBidi" w:hAnsiTheme="majorBidi" w:cstheme="majorBidi"/>
          <w:color w:val="000000"/>
          <w:sz w:val="28"/>
          <w:szCs w:val="28"/>
        </w:rPr>
        <w:t>. O</w:t>
      </w:r>
      <w:r w:rsidR="00C5530F" w:rsidRPr="00C5530F">
        <w:rPr>
          <w:rFonts w:asciiTheme="majorBidi" w:hAnsiTheme="majorBidi" w:cstheme="majorBidi"/>
          <w:color w:val="000000"/>
          <w:sz w:val="28"/>
          <w:szCs w:val="28"/>
        </w:rPr>
        <w:t>ver the past three decades, a shift from SCC to UC and an increase in the mean age at diagnosis have been reported</w:t>
      </w:r>
      <w:r w:rsidRPr="00B809CE">
        <w:rPr>
          <w:rFonts w:asciiTheme="majorBidi" w:hAnsiTheme="majorBidi" w:cstheme="majorBidi"/>
          <w:color w:val="000000"/>
          <w:sz w:val="28"/>
          <w:szCs w:val="28"/>
        </w:rPr>
        <w:t xml:space="preserve"> </w:t>
      </w:r>
      <w:r w:rsidRPr="00F13494">
        <w:rPr>
          <w:rFonts w:asciiTheme="majorBidi" w:hAnsiTheme="majorBidi" w:cstheme="majorBidi"/>
          <w:b/>
          <w:bCs/>
          <w:i/>
          <w:iCs/>
          <w:sz w:val="28"/>
          <w:szCs w:val="28"/>
        </w:rPr>
        <w:t>(Ibrahim et al., 2014)</w:t>
      </w:r>
      <w:r w:rsidRPr="00B809CE">
        <w:rPr>
          <w:rFonts w:asciiTheme="majorBidi" w:hAnsiTheme="majorBidi" w:cstheme="majorBidi"/>
          <w:color w:val="000000"/>
          <w:sz w:val="28"/>
          <w:szCs w:val="28"/>
        </w:rPr>
        <w:t>. According to the report of the Global Cancer Observatory in 201</w:t>
      </w:r>
      <w:r>
        <w:rPr>
          <w:rFonts w:asciiTheme="majorBidi" w:hAnsiTheme="majorBidi" w:cstheme="majorBidi"/>
          <w:color w:val="000000"/>
          <w:sz w:val="28"/>
          <w:szCs w:val="28"/>
        </w:rPr>
        <w:t>8</w:t>
      </w:r>
      <w:r w:rsidRPr="00B809CE">
        <w:rPr>
          <w:rFonts w:asciiTheme="majorBidi" w:hAnsiTheme="majorBidi" w:cstheme="majorBidi"/>
          <w:color w:val="000000"/>
          <w:sz w:val="28"/>
          <w:szCs w:val="28"/>
        </w:rPr>
        <w:t xml:space="preserve">, Egypt has been ranked among the top 20 countries with the highest incidence rates of bladder cancer. Moreover, Egypt has shown the highest mortality rates of bladder cancer along with 3 countries in the Middle East- North Africa region, namely Lebanon, </w:t>
      </w:r>
      <w:proofErr w:type="gramStart"/>
      <w:r w:rsidRPr="00B809CE">
        <w:rPr>
          <w:rFonts w:asciiTheme="majorBidi" w:hAnsiTheme="majorBidi" w:cstheme="majorBidi"/>
          <w:color w:val="000000"/>
          <w:sz w:val="28"/>
          <w:szCs w:val="28"/>
        </w:rPr>
        <w:t>Turkey</w:t>
      </w:r>
      <w:proofErr w:type="gramEnd"/>
      <w:r w:rsidRPr="00B809CE">
        <w:rPr>
          <w:rFonts w:asciiTheme="majorBidi" w:hAnsiTheme="majorBidi" w:cstheme="majorBidi"/>
          <w:color w:val="000000"/>
          <w:sz w:val="28"/>
          <w:szCs w:val="28"/>
        </w:rPr>
        <w:t xml:space="preserve"> and Armenia </w:t>
      </w:r>
      <w:r w:rsidRPr="007B33C2">
        <w:rPr>
          <w:rFonts w:asciiTheme="majorBidi" w:hAnsiTheme="majorBidi" w:cstheme="majorBidi"/>
          <w:b/>
          <w:bCs/>
          <w:i/>
          <w:iCs/>
          <w:color w:val="000000"/>
          <w:sz w:val="28"/>
          <w:szCs w:val="28"/>
        </w:rPr>
        <w:t>(</w:t>
      </w:r>
      <w:r w:rsidR="00A130A5" w:rsidRPr="00A130A5">
        <w:rPr>
          <w:rFonts w:asciiTheme="majorBidi" w:hAnsiTheme="majorBidi" w:cstheme="majorBidi"/>
          <w:b/>
          <w:bCs/>
          <w:i/>
          <w:iCs/>
          <w:color w:val="000000"/>
          <w:sz w:val="28"/>
          <w:szCs w:val="28"/>
        </w:rPr>
        <w:t>Bray</w:t>
      </w:r>
      <w:r w:rsidR="00A130A5" w:rsidRPr="00A130A5">
        <w:rPr>
          <w:rFonts w:asciiTheme="majorBidi" w:hAnsiTheme="majorBidi" w:cstheme="majorBidi"/>
          <w:b/>
          <w:bCs/>
          <w:i/>
          <w:iCs/>
          <w:color w:val="000000"/>
          <w:sz w:val="28"/>
          <w:szCs w:val="28"/>
        </w:rPr>
        <w:t xml:space="preserve"> </w:t>
      </w:r>
      <w:r w:rsidR="00A130A5">
        <w:rPr>
          <w:rFonts w:asciiTheme="majorBidi" w:hAnsiTheme="majorBidi" w:cstheme="majorBidi"/>
          <w:b/>
          <w:bCs/>
          <w:i/>
          <w:iCs/>
          <w:color w:val="000000"/>
          <w:sz w:val="28"/>
          <w:szCs w:val="28"/>
        </w:rPr>
        <w:t xml:space="preserve">et al., </w:t>
      </w:r>
      <w:r w:rsidRPr="007B33C2">
        <w:rPr>
          <w:rFonts w:asciiTheme="majorBidi" w:hAnsiTheme="majorBidi" w:cstheme="majorBidi"/>
          <w:b/>
          <w:bCs/>
          <w:i/>
          <w:iCs/>
          <w:color w:val="000000"/>
          <w:sz w:val="28"/>
          <w:szCs w:val="28"/>
        </w:rPr>
        <w:t>2018).</w:t>
      </w:r>
    </w:p>
    <w:p w14:paraId="770BA7B3" w14:textId="77777777" w:rsidR="009A768B" w:rsidRPr="004125DF" w:rsidRDefault="009A768B" w:rsidP="009A768B">
      <w:pPr>
        <w:pStyle w:val="ListParagraph"/>
        <w:spacing w:before="240" w:after="240" w:line="360" w:lineRule="auto"/>
        <w:ind w:left="0" w:firstLine="720"/>
        <w:jc w:val="both"/>
        <w:rPr>
          <w:rFonts w:asciiTheme="majorBidi" w:hAnsiTheme="majorBidi" w:cstheme="majorBidi"/>
          <w:color w:val="000000"/>
          <w:sz w:val="28"/>
          <w:szCs w:val="28"/>
        </w:rPr>
      </w:pPr>
      <w:r w:rsidRPr="004125DF">
        <w:rPr>
          <w:rFonts w:asciiTheme="majorBidi" w:hAnsiTheme="majorBidi" w:cstheme="majorBidi"/>
          <w:color w:val="000000"/>
          <w:sz w:val="28"/>
          <w:szCs w:val="28"/>
        </w:rPr>
        <w:t>On the other hand, in Egypt a cha</w:t>
      </w:r>
      <w:r>
        <w:rPr>
          <w:rFonts w:asciiTheme="majorBidi" w:hAnsiTheme="majorBidi" w:cstheme="majorBidi"/>
          <w:color w:val="000000"/>
          <w:sz w:val="28"/>
          <w:szCs w:val="28"/>
        </w:rPr>
        <w:t xml:space="preserve">nging pattern of bladder cancer </w:t>
      </w:r>
      <w:r w:rsidRPr="004125DF">
        <w:rPr>
          <w:rFonts w:asciiTheme="majorBidi" w:hAnsiTheme="majorBidi" w:cstheme="majorBidi"/>
          <w:color w:val="000000"/>
          <w:sz w:val="28"/>
          <w:szCs w:val="28"/>
        </w:rPr>
        <w:t>has been observed throughout the y</w:t>
      </w:r>
      <w:r>
        <w:rPr>
          <w:rFonts w:asciiTheme="majorBidi" w:hAnsiTheme="majorBidi" w:cstheme="majorBidi"/>
          <w:color w:val="000000"/>
          <w:sz w:val="28"/>
          <w:szCs w:val="28"/>
        </w:rPr>
        <w:t xml:space="preserve">ears. In the past (1920- 1990), </w:t>
      </w:r>
      <w:r w:rsidRPr="004125DF">
        <w:rPr>
          <w:rFonts w:asciiTheme="majorBidi" w:hAnsiTheme="majorBidi" w:cstheme="majorBidi"/>
          <w:color w:val="000000"/>
          <w:sz w:val="28"/>
          <w:szCs w:val="28"/>
        </w:rPr>
        <w:t xml:space="preserve">squamous cell carcinoma; the malignancy </w:t>
      </w:r>
      <w:r>
        <w:rPr>
          <w:rFonts w:asciiTheme="majorBidi" w:hAnsiTheme="majorBidi" w:cstheme="majorBidi"/>
          <w:color w:val="000000"/>
          <w:sz w:val="28"/>
          <w:szCs w:val="28"/>
        </w:rPr>
        <w:t xml:space="preserve">associated with the blood fluke </w:t>
      </w:r>
      <w:r w:rsidRPr="004125DF">
        <w:rPr>
          <w:rFonts w:asciiTheme="majorBidi" w:hAnsiTheme="majorBidi" w:cstheme="majorBidi"/>
          <w:color w:val="000000"/>
          <w:sz w:val="28"/>
          <w:szCs w:val="28"/>
        </w:rPr>
        <w:t>Schistosoma hematobium, was the pred</w:t>
      </w:r>
      <w:r>
        <w:rPr>
          <w:rFonts w:asciiTheme="majorBidi" w:hAnsiTheme="majorBidi" w:cstheme="majorBidi"/>
          <w:color w:val="000000"/>
          <w:sz w:val="28"/>
          <w:szCs w:val="28"/>
        </w:rPr>
        <w:t xml:space="preserve">ominant bladder tumor in Egypt, </w:t>
      </w:r>
      <w:r w:rsidRPr="004125DF">
        <w:rPr>
          <w:rFonts w:asciiTheme="majorBidi" w:hAnsiTheme="majorBidi" w:cstheme="majorBidi"/>
          <w:color w:val="000000"/>
          <w:sz w:val="28"/>
          <w:szCs w:val="28"/>
        </w:rPr>
        <w:t xml:space="preserve">due to the high infection rates (70–80%) </w:t>
      </w:r>
      <w:r w:rsidRPr="004125DF">
        <w:rPr>
          <w:rFonts w:asciiTheme="majorBidi" w:hAnsiTheme="majorBidi" w:cstheme="majorBidi"/>
          <w:b/>
          <w:bCs/>
          <w:i/>
          <w:iCs/>
          <w:sz w:val="28"/>
          <w:szCs w:val="28"/>
        </w:rPr>
        <w:t>(Khaled, 2013).</w:t>
      </w:r>
    </w:p>
    <w:p w14:paraId="152D6309" w14:textId="465246F4" w:rsidR="009A768B" w:rsidRPr="00D57D07" w:rsidRDefault="009A768B" w:rsidP="00D57D07">
      <w:pPr>
        <w:pStyle w:val="ListParagraph"/>
        <w:spacing w:before="240" w:after="240" w:line="360" w:lineRule="auto"/>
        <w:ind w:left="0" w:firstLine="720"/>
        <w:jc w:val="both"/>
        <w:rPr>
          <w:rFonts w:asciiTheme="majorBidi" w:hAnsiTheme="majorBidi" w:cstheme="majorBidi"/>
          <w:color w:val="000000"/>
          <w:sz w:val="28"/>
          <w:szCs w:val="32"/>
        </w:rPr>
      </w:pPr>
      <w:r w:rsidRPr="004125DF">
        <w:rPr>
          <w:rFonts w:asciiTheme="majorBidi" w:hAnsiTheme="majorBidi" w:cstheme="majorBidi"/>
          <w:color w:val="000000"/>
          <w:sz w:val="28"/>
          <w:szCs w:val="32"/>
        </w:rPr>
        <w:t>However, recent data suggest that this profile has been dramatically changed over the past 25 years due to</w:t>
      </w:r>
      <w:r>
        <w:rPr>
          <w:rFonts w:asciiTheme="majorBidi" w:hAnsiTheme="majorBidi" w:cstheme="majorBidi"/>
          <w:color w:val="000000"/>
          <w:sz w:val="28"/>
          <w:szCs w:val="32"/>
        </w:rPr>
        <w:t xml:space="preserve"> introduction of efficient anti </w:t>
      </w:r>
      <w:r w:rsidRPr="004125DF">
        <w:rPr>
          <w:rFonts w:asciiTheme="majorBidi" w:hAnsiTheme="majorBidi" w:cstheme="majorBidi"/>
          <w:color w:val="000000"/>
          <w:sz w:val="28"/>
          <w:szCs w:val="32"/>
        </w:rPr>
        <w:t>bilharzial drugs and public awareness campaigns to eradicate schistosomiasis, which has led to a significant decline in the incidence of squamous cell cancer</w:t>
      </w:r>
      <w:r w:rsidR="00C5530F">
        <w:rPr>
          <w:rFonts w:asciiTheme="majorBidi" w:hAnsiTheme="majorBidi" w:cstheme="majorBidi"/>
          <w:color w:val="000000"/>
          <w:sz w:val="28"/>
          <w:szCs w:val="32"/>
        </w:rPr>
        <w:t xml:space="preserve">. </w:t>
      </w:r>
      <w:r w:rsidRPr="004125DF">
        <w:rPr>
          <w:rFonts w:asciiTheme="majorBidi" w:hAnsiTheme="majorBidi" w:cstheme="majorBidi"/>
          <w:color w:val="000000"/>
          <w:sz w:val="28"/>
          <w:szCs w:val="32"/>
        </w:rPr>
        <w:t>Nevertheless, the high prevalence of tobacco smoking in cigarettes, as well as</w:t>
      </w:r>
      <w:r w:rsidRPr="004125DF">
        <w:t xml:space="preserve"> </w:t>
      </w:r>
      <w:r w:rsidRPr="004125DF">
        <w:rPr>
          <w:rFonts w:asciiTheme="majorBidi" w:hAnsiTheme="majorBidi" w:cstheme="majorBidi"/>
          <w:color w:val="000000"/>
          <w:sz w:val="28"/>
          <w:szCs w:val="32"/>
        </w:rPr>
        <w:lastRenderedPageBreak/>
        <w:t>waterpipe smoking have triggered a shift towards UCC, thus minimizing the differences between it</w:t>
      </w:r>
      <w:r>
        <w:rPr>
          <w:rFonts w:asciiTheme="majorBidi" w:hAnsiTheme="majorBidi" w:cstheme="majorBidi"/>
          <w:color w:val="000000"/>
          <w:sz w:val="28"/>
          <w:szCs w:val="32"/>
        </w:rPr>
        <w:t xml:space="preserve">s features in Egypt and that in </w:t>
      </w:r>
      <w:r w:rsidRPr="004125DF">
        <w:rPr>
          <w:rFonts w:asciiTheme="majorBidi" w:hAnsiTheme="majorBidi" w:cstheme="majorBidi"/>
          <w:color w:val="000000"/>
          <w:sz w:val="28"/>
          <w:szCs w:val="32"/>
        </w:rPr>
        <w:t xml:space="preserve">western countries </w:t>
      </w:r>
      <w:r w:rsidRPr="004125DF">
        <w:rPr>
          <w:rFonts w:asciiTheme="majorBidi" w:hAnsiTheme="majorBidi" w:cstheme="majorBidi"/>
          <w:b/>
          <w:bCs/>
          <w:i/>
          <w:iCs/>
          <w:sz w:val="28"/>
          <w:szCs w:val="28"/>
        </w:rPr>
        <w:t>(Antoni et al., 2017).</w:t>
      </w:r>
    </w:p>
    <w:p w14:paraId="093CFE0E" w14:textId="77777777" w:rsidR="00FD5AAB" w:rsidRPr="009A768B" w:rsidRDefault="00FD5AAB" w:rsidP="00C226F7">
      <w:pPr>
        <w:autoSpaceDE w:val="0"/>
        <w:autoSpaceDN w:val="0"/>
        <w:adjustRightInd w:val="0"/>
        <w:spacing w:line="240" w:lineRule="auto"/>
        <w:ind w:firstLine="0"/>
        <w:rPr>
          <w:rFonts w:asciiTheme="majorBidi" w:hAnsiTheme="majorBidi" w:cstheme="majorBidi"/>
          <w:b/>
          <w:bCs/>
          <w:i/>
          <w:iCs/>
          <w:sz w:val="36"/>
          <w:szCs w:val="36"/>
          <w:u w:val="single"/>
        </w:rPr>
      </w:pPr>
      <w:r w:rsidRPr="009A768B">
        <w:rPr>
          <w:rFonts w:asciiTheme="majorBidi" w:hAnsiTheme="majorBidi" w:cstheme="majorBidi"/>
          <w:b/>
          <w:bCs/>
          <w:sz w:val="36"/>
          <w:szCs w:val="36"/>
          <w:u w:val="single"/>
        </w:rPr>
        <w:t>Molecular Basis of Bladder cancer</w:t>
      </w:r>
      <w:r w:rsidRPr="009A768B">
        <w:rPr>
          <w:rFonts w:asciiTheme="majorBidi" w:hAnsiTheme="majorBidi" w:cstheme="majorBidi"/>
          <w:b/>
          <w:bCs/>
          <w:i/>
          <w:iCs/>
          <w:sz w:val="36"/>
          <w:szCs w:val="36"/>
          <w:u w:val="single"/>
        </w:rPr>
        <w:t>:</w:t>
      </w:r>
    </w:p>
    <w:p w14:paraId="03EB11E4" w14:textId="26C34A3A" w:rsidR="00FD5AAB" w:rsidRDefault="009A768B" w:rsidP="00FD5AAB">
      <w:pPr>
        <w:autoSpaceDE w:val="0"/>
        <w:autoSpaceDN w:val="0"/>
        <w:adjustRightInd w:val="0"/>
        <w:spacing w:before="120" w:after="120"/>
        <w:rPr>
          <w:rFonts w:ascii="Times New Roman" w:hAnsi="Times New Roman" w:cs="Times New Roman"/>
          <w:sz w:val="28"/>
          <w:szCs w:val="28"/>
        </w:rPr>
      </w:pPr>
      <w:r w:rsidRPr="007F7401">
        <w:rPr>
          <w:rFonts w:asciiTheme="majorBidi" w:hAnsiTheme="majorBidi" w:cstheme="majorBidi"/>
          <w:color w:val="000000"/>
          <w:sz w:val="28"/>
          <w:szCs w:val="28"/>
        </w:rPr>
        <w:t xml:space="preserve">The development of </w:t>
      </w:r>
      <w:r>
        <w:rPr>
          <w:rFonts w:asciiTheme="majorBidi" w:hAnsiTheme="majorBidi" w:cstheme="majorBidi"/>
          <w:color w:val="000000"/>
          <w:sz w:val="28"/>
          <w:szCs w:val="28"/>
        </w:rPr>
        <w:t>bladder</w:t>
      </w:r>
      <w:r w:rsidRPr="007F7401">
        <w:rPr>
          <w:rFonts w:asciiTheme="majorBidi" w:hAnsiTheme="majorBidi" w:cstheme="majorBidi"/>
          <w:color w:val="000000"/>
          <w:sz w:val="28"/>
          <w:szCs w:val="28"/>
        </w:rPr>
        <w:t xml:space="preserve"> carcinoma is postulated to occur via different and complex mechanisms that have not been yet fully elucidated. However, </w:t>
      </w:r>
      <w:r w:rsidR="00C60159">
        <w:rPr>
          <w:rFonts w:ascii="Times New Roman" w:hAnsi="Times New Roman" w:cs="Times New Roman"/>
          <w:sz w:val="28"/>
          <w:szCs w:val="28"/>
        </w:rPr>
        <w:t>the</w:t>
      </w:r>
      <w:r w:rsidR="00FD5AAB">
        <w:rPr>
          <w:rFonts w:ascii="Times New Roman" w:hAnsi="Times New Roman" w:cs="Times New Roman"/>
          <w:sz w:val="28"/>
          <w:szCs w:val="28"/>
        </w:rPr>
        <w:t xml:space="preserve"> molecular pathways underlying the two main distinct types of </w:t>
      </w:r>
      <w:bookmarkStart w:id="0" w:name="_Hlk71751862"/>
      <w:r w:rsidR="00FD5AAB">
        <w:rPr>
          <w:rFonts w:ascii="Times New Roman" w:hAnsi="Times New Roman" w:cs="Times New Roman"/>
          <w:sz w:val="28"/>
          <w:szCs w:val="28"/>
        </w:rPr>
        <w:t>UC</w:t>
      </w:r>
      <w:bookmarkEnd w:id="0"/>
      <w:r w:rsidR="00FD5AAB">
        <w:rPr>
          <w:rFonts w:ascii="Times New Roman" w:hAnsi="Times New Roman" w:cs="Times New Roman"/>
          <w:sz w:val="28"/>
          <w:szCs w:val="28"/>
        </w:rPr>
        <w:t xml:space="preserve">, low-grade non-muscle invasive UC and high-grade muscle invasive UC </w:t>
      </w:r>
      <w:r w:rsidR="00FD5AAB" w:rsidRPr="00FD5AAB">
        <w:rPr>
          <w:rFonts w:ascii="Times New Roman" w:hAnsi="Times New Roman" w:cs="Times New Roman"/>
          <w:b/>
          <w:bCs/>
          <w:i/>
          <w:iCs/>
          <w:sz w:val="28"/>
          <w:szCs w:val="28"/>
        </w:rPr>
        <w:t>(Jebar et al., 2005)</w:t>
      </w:r>
      <w:r w:rsidR="00FD5AAB">
        <w:rPr>
          <w:rFonts w:ascii="Times New Roman" w:hAnsi="Times New Roman" w:cs="Times New Roman"/>
          <w:sz w:val="28"/>
          <w:szCs w:val="28"/>
        </w:rPr>
        <w:t xml:space="preserve"> have been investigated to identify new potential markers for diagnosis, disease monitoring, </w:t>
      </w:r>
      <w:proofErr w:type="gramStart"/>
      <w:r w:rsidR="00FD5AAB">
        <w:rPr>
          <w:rFonts w:ascii="Times New Roman" w:hAnsi="Times New Roman" w:cs="Times New Roman"/>
          <w:sz w:val="28"/>
          <w:szCs w:val="28"/>
        </w:rPr>
        <w:t>prognosis</w:t>
      </w:r>
      <w:proofErr w:type="gramEnd"/>
      <w:r w:rsidR="00FD5AAB">
        <w:rPr>
          <w:rFonts w:ascii="Times New Roman" w:hAnsi="Times New Roman" w:cs="Times New Roman"/>
          <w:sz w:val="28"/>
          <w:szCs w:val="28"/>
        </w:rPr>
        <w:t xml:space="preserve"> and the development of new targeted therapies </w:t>
      </w:r>
      <w:r w:rsidR="00FD5AAB" w:rsidRPr="00FD5AAB">
        <w:rPr>
          <w:rFonts w:ascii="Times New Roman" w:hAnsi="Times New Roman" w:cs="Times New Roman"/>
          <w:b/>
          <w:bCs/>
          <w:i/>
          <w:iCs/>
          <w:sz w:val="28"/>
          <w:szCs w:val="28"/>
        </w:rPr>
        <w:t>(Castillo-Martin et al., 2010)</w:t>
      </w:r>
      <w:r w:rsidR="00FD5AAB">
        <w:rPr>
          <w:rFonts w:ascii="Times New Roman" w:hAnsi="Times New Roman" w:cs="Times New Roman"/>
          <w:sz w:val="28"/>
          <w:szCs w:val="28"/>
        </w:rPr>
        <w:t>.</w:t>
      </w:r>
    </w:p>
    <w:p w14:paraId="6C1A1125" w14:textId="77777777" w:rsidR="005A58B9" w:rsidRDefault="00FD5AAB" w:rsidP="00C65D87">
      <w:pPr>
        <w:rPr>
          <w:rFonts w:ascii="Times New Roman" w:hAnsi="Times New Roman" w:cs="Times New Roman"/>
          <w:sz w:val="28"/>
          <w:szCs w:val="28"/>
        </w:rPr>
      </w:pPr>
      <w:r>
        <w:rPr>
          <w:rFonts w:ascii="Times New Roman" w:hAnsi="Times New Roman" w:cs="Times New Roman"/>
          <w:sz w:val="28"/>
          <w:szCs w:val="28"/>
        </w:rPr>
        <w:t xml:space="preserve">The most common genetic alteration of BC associated with low-grade and low-stage is </w:t>
      </w:r>
      <w:r w:rsidR="00C65D87" w:rsidRPr="00C65D87">
        <w:rPr>
          <w:rFonts w:ascii="Times New Roman" w:hAnsi="Times New Roman" w:cs="Times New Roman"/>
          <w:sz w:val="28"/>
          <w:szCs w:val="28"/>
        </w:rPr>
        <w:t xml:space="preserve">deletion of chromosome 9 and </w:t>
      </w:r>
      <w:r>
        <w:rPr>
          <w:rFonts w:ascii="Times New Roman" w:hAnsi="Times New Roman" w:cs="Times New Roman"/>
          <w:sz w:val="28"/>
          <w:szCs w:val="28"/>
        </w:rPr>
        <w:t xml:space="preserve">an activating mutation of the </w:t>
      </w:r>
      <w:bookmarkStart w:id="1" w:name="_Hlk71751941"/>
      <w:r>
        <w:rPr>
          <w:rFonts w:ascii="Times New Roman" w:hAnsi="Times New Roman" w:cs="Times New Roman"/>
          <w:sz w:val="28"/>
          <w:szCs w:val="28"/>
        </w:rPr>
        <w:t>Fibroblast growth factor receptor 3 (FGFR3</w:t>
      </w:r>
      <w:bookmarkEnd w:id="1"/>
      <w:r>
        <w:rPr>
          <w:rFonts w:ascii="Times New Roman" w:hAnsi="Times New Roman" w:cs="Times New Roman"/>
          <w:sz w:val="28"/>
          <w:szCs w:val="28"/>
        </w:rPr>
        <w:t xml:space="preserve">) gene </w:t>
      </w:r>
      <w:r w:rsidRPr="00C65D87">
        <w:rPr>
          <w:rFonts w:ascii="Times New Roman" w:hAnsi="Times New Roman" w:cs="Times New Roman"/>
          <w:b/>
          <w:bCs/>
          <w:i/>
          <w:iCs/>
          <w:sz w:val="28"/>
          <w:szCs w:val="28"/>
        </w:rPr>
        <w:t>(Castillo-Martin et</w:t>
      </w:r>
      <w:r>
        <w:rPr>
          <w:rFonts w:ascii="Times New Roman" w:hAnsi="Times New Roman" w:cs="Times New Roman"/>
          <w:b/>
          <w:bCs/>
          <w:i/>
          <w:iCs/>
          <w:sz w:val="28"/>
          <w:szCs w:val="28"/>
        </w:rPr>
        <w:t xml:space="preserve"> al., 2010)</w:t>
      </w:r>
      <w:r w:rsidR="005A58B9">
        <w:rPr>
          <w:rFonts w:ascii="Times New Roman" w:hAnsi="Times New Roman" w:cs="Times New Roman"/>
          <w:sz w:val="28"/>
          <w:szCs w:val="28"/>
        </w:rPr>
        <w:t>.</w:t>
      </w:r>
    </w:p>
    <w:p w14:paraId="3F10B6EC" w14:textId="042580A6" w:rsidR="00160BCE" w:rsidRDefault="00160BCE" w:rsidP="00F01BEB">
      <w:pPr>
        <w:spacing w:before="240" w:after="240"/>
        <w:rPr>
          <w:rFonts w:asciiTheme="majorBidi" w:hAnsiTheme="majorBidi" w:cstheme="majorBidi"/>
          <w:color w:val="000000"/>
          <w:sz w:val="28"/>
          <w:szCs w:val="28"/>
        </w:rPr>
      </w:pPr>
      <w:r w:rsidRPr="00C60F77">
        <w:rPr>
          <w:rFonts w:asciiTheme="majorBidi" w:hAnsiTheme="majorBidi" w:cstheme="majorBidi"/>
          <w:color w:val="000000"/>
          <w:sz w:val="28"/>
          <w:szCs w:val="28"/>
        </w:rPr>
        <w:t>As a result of mutational insults, some of the normal urothelial stem cells undergo transformation into a tumor sub</w:t>
      </w:r>
      <w:r>
        <w:rPr>
          <w:rFonts w:asciiTheme="majorBidi" w:hAnsiTheme="majorBidi" w:cstheme="majorBidi"/>
          <w:color w:val="000000"/>
          <w:sz w:val="28"/>
          <w:szCs w:val="28"/>
        </w:rPr>
        <w:t xml:space="preserve">population known as </w:t>
      </w:r>
      <w:bookmarkStart w:id="2" w:name="_Hlk71751903"/>
      <w:bookmarkStart w:id="3" w:name="_Hlk71752005"/>
      <w:r w:rsidRPr="00C60F77">
        <w:rPr>
          <w:rFonts w:asciiTheme="majorBidi" w:hAnsiTheme="majorBidi" w:cstheme="majorBidi"/>
          <w:color w:val="000000"/>
          <w:sz w:val="28"/>
          <w:szCs w:val="28"/>
        </w:rPr>
        <w:t xml:space="preserve">urothelial cancer </w:t>
      </w:r>
      <w:bookmarkEnd w:id="2"/>
      <w:r w:rsidRPr="00C60F77">
        <w:rPr>
          <w:rFonts w:asciiTheme="majorBidi" w:hAnsiTheme="majorBidi" w:cstheme="majorBidi"/>
          <w:color w:val="000000"/>
          <w:sz w:val="28"/>
          <w:szCs w:val="28"/>
        </w:rPr>
        <w:t xml:space="preserve">stem cells </w:t>
      </w:r>
      <w:bookmarkEnd w:id="3"/>
      <w:r w:rsidRPr="00C60F77">
        <w:rPr>
          <w:rFonts w:asciiTheme="majorBidi" w:hAnsiTheme="majorBidi" w:cstheme="majorBidi"/>
          <w:color w:val="000000"/>
          <w:sz w:val="28"/>
          <w:szCs w:val="28"/>
        </w:rPr>
        <w:t>/</w:t>
      </w:r>
      <w:bookmarkStart w:id="4" w:name="_Hlk71752027"/>
      <w:r w:rsidRPr="00C60F77">
        <w:rPr>
          <w:rFonts w:asciiTheme="majorBidi" w:hAnsiTheme="majorBidi" w:cstheme="majorBidi"/>
          <w:color w:val="000000"/>
          <w:sz w:val="28"/>
          <w:szCs w:val="28"/>
        </w:rPr>
        <w:t>tumor-initiating cells</w:t>
      </w:r>
      <w:bookmarkEnd w:id="4"/>
      <w:r w:rsidR="00F27BE6">
        <w:rPr>
          <w:rFonts w:asciiTheme="majorBidi" w:hAnsiTheme="majorBidi" w:cstheme="majorBidi"/>
          <w:color w:val="000000"/>
          <w:sz w:val="28"/>
          <w:szCs w:val="28"/>
        </w:rPr>
        <w:t xml:space="preserve">. </w:t>
      </w:r>
      <w:r w:rsidRPr="00C60F77">
        <w:rPr>
          <w:rFonts w:asciiTheme="majorBidi" w:hAnsiTheme="majorBidi" w:cstheme="majorBidi"/>
          <w:color w:val="000000"/>
          <w:sz w:val="28"/>
          <w:szCs w:val="28"/>
        </w:rPr>
        <w:t xml:space="preserve">These subsets of cells possess the capacity of self-renewal and the ability to generate cellular tumor heterogeneity via differentiation </w:t>
      </w:r>
      <w:r w:rsidRPr="00C60F77">
        <w:rPr>
          <w:rFonts w:asciiTheme="majorBidi" w:hAnsiTheme="majorBidi" w:cstheme="majorBidi"/>
          <w:b/>
          <w:bCs/>
          <w:i/>
          <w:iCs/>
          <w:color w:val="000000"/>
          <w:sz w:val="28"/>
          <w:szCs w:val="28"/>
        </w:rPr>
        <w:t>(Garg, 201</w:t>
      </w:r>
      <w:r w:rsidR="00C5530F">
        <w:rPr>
          <w:rFonts w:asciiTheme="majorBidi" w:hAnsiTheme="majorBidi" w:cstheme="majorBidi"/>
          <w:b/>
          <w:bCs/>
          <w:i/>
          <w:iCs/>
          <w:color w:val="000000"/>
          <w:sz w:val="28"/>
          <w:szCs w:val="28"/>
        </w:rPr>
        <w:t>6</w:t>
      </w:r>
      <w:r w:rsidRPr="00C60F77">
        <w:rPr>
          <w:rFonts w:asciiTheme="majorBidi" w:hAnsiTheme="majorBidi" w:cstheme="majorBidi"/>
          <w:b/>
          <w:bCs/>
          <w:i/>
          <w:iCs/>
          <w:color w:val="000000"/>
          <w:sz w:val="28"/>
          <w:szCs w:val="28"/>
        </w:rPr>
        <w:t xml:space="preserve">). </w:t>
      </w:r>
      <w:r w:rsidRPr="00C60F77">
        <w:rPr>
          <w:rFonts w:asciiTheme="majorBidi" w:hAnsiTheme="majorBidi" w:cstheme="majorBidi"/>
          <w:color w:val="000000"/>
          <w:sz w:val="28"/>
          <w:szCs w:val="28"/>
        </w:rPr>
        <w:t>These cells have been documented to have upregulated levels of various oncogenes and transcription factors to help them sustain the pluripotent properties of stem cells and aggressiveness of tumor invasion</w:t>
      </w:r>
      <w:r w:rsidR="00F01BEB" w:rsidRPr="00F01BEB">
        <w:rPr>
          <w:rFonts w:asciiTheme="majorBidi" w:hAnsiTheme="majorBidi" w:cstheme="majorBidi"/>
          <w:color w:val="000000"/>
          <w:sz w:val="28"/>
          <w:szCs w:val="28"/>
        </w:rPr>
        <w:t xml:space="preserve"> </w:t>
      </w:r>
      <w:r w:rsidR="00F01BEB">
        <w:rPr>
          <w:rFonts w:asciiTheme="majorBidi" w:hAnsiTheme="majorBidi" w:cstheme="majorBidi"/>
          <w:color w:val="000000"/>
          <w:sz w:val="28"/>
          <w:szCs w:val="28"/>
        </w:rPr>
        <w:t>(figure 1</w:t>
      </w:r>
      <w:r w:rsidR="00F01BEB" w:rsidRPr="000B161E">
        <w:rPr>
          <w:rFonts w:asciiTheme="majorBidi" w:hAnsiTheme="majorBidi" w:cstheme="majorBidi"/>
          <w:color w:val="000000"/>
          <w:sz w:val="28"/>
          <w:szCs w:val="28"/>
        </w:rPr>
        <w:t>).</w:t>
      </w:r>
      <w:r w:rsidRPr="00C60F77">
        <w:rPr>
          <w:rFonts w:asciiTheme="majorBidi" w:hAnsiTheme="majorBidi" w:cstheme="majorBidi"/>
          <w:color w:val="000000"/>
          <w:sz w:val="28"/>
          <w:szCs w:val="28"/>
        </w:rPr>
        <w:t xml:space="preserve"> </w:t>
      </w:r>
      <w:r w:rsidRPr="00C60F77">
        <w:rPr>
          <w:rFonts w:asciiTheme="majorBidi" w:hAnsiTheme="majorBidi" w:cstheme="majorBidi"/>
          <w:b/>
          <w:bCs/>
          <w:i/>
          <w:iCs/>
          <w:color w:val="000000"/>
          <w:sz w:val="28"/>
          <w:szCs w:val="28"/>
        </w:rPr>
        <w:t>(Moad et al., 2013; Garg, 201</w:t>
      </w:r>
      <w:r w:rsidR="00C5530F">
        <w:rPr>
          <w:rFonts w:asciiTheme="majorBidi" w:hAnsiTheme="majorBidi" w:cstheme="majorBidi"/>
          <w:b/>
          <w:bCs/>
          <w:i/>
          <w:iCs/>
          <w:color w:val="000000"/>
          <w:sz w:val="28"/>
          <w:szCs w:val="28"/>
        </w:rPr>
        <w:t>6</w:t>
      </w:r>
      <w:r w:rsidRPr="00C60F77">
        <w:rPr>
          <w:rFonts w:asciiTheme="majorBidi" w:hAnsiTheme="majorBidi" w:cstheme="majorBidi"/>
          <w:b/>
          <w:bCs/>
          <w:i/>
          <w:iCs/>
          <w:color w:val="000000"/>
          <w:sz w:val="28"/>
          <w:szCs w:val="28"/>
        </w:rPr>
        <w:t>)</w:t>
      </w:r>
      <w:r w:rsidRPr="00C60F77">
        <w:rPr>
          <w:rFonts w:asciiTheme="majorBidi" w:hAnsiTheme="majorBidi" w:cstheme="majorBidi"/>
          <w:color w:val="000000"/>
          <w:sz w:val="28"/>
          <w:szCs w:val="28"/>
        </w:rPr>
        <w:t xml:space="preserve">. </w:t>
      </w:r>
    </w:p>
    <w:p w14:paraId="7F464696" w14:textId="77777777" w:rsidR="00160BCE" w:rsidRDefault="00F01BEB" w:rsidP="00746560">
      <w:pPr>
        <w:ind w:firstLine="0"/>
        <w:rPr>
          <w:rFonts w:ascii="Times New Roman" w:hAnsi="Times New Roman" w:cs="Times New Roman"/>
          <w:sz w:val="28"/>
          <w:szCs w:val="28"/>
        </w:rPr>
      </w:pPr>
      <w:r w:rsidRPr="00F01BEB">
        <w:rPr>
          <w:rFonts w:ascii="Times New Roman" w:hAnsi="Times New Roman" w:cs="Times New Roman"/>
          <w:noProof/>
          <w:sz w:val="28"/>
          <w:szCs w:val="28"/>
        </w:rPr>
        <w:lastRenderedPageBreak/>
        <w:drawing>
          <wp:inline distT="0" distB="0" distL="0" distR="0" wp14:anchorId="49739306" wp14:editId="71DC3879">
            <wp:extent cx="5274945" cy="4371975"/>
            <wp:effectExtent l="19050" t="19050" r="20955" b="28575"/>
            <wp:docPr id="6" name="Picture 6" descr="Image result for Cellular differentiation and mutational transformation of urothelial stem cells and dual pathways of carcinogen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ellular differentiation and mutational transformation of urothelial stem cells and dual pathways of carcinogenes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7227" cy="4373866"/>
                    </a:xfrm>
                    <a:prstGeom prst="rect">
                      <a:avLst/>
                    </a:prstGeom>
                    <a:noFill/>
                    <a:ln>
                      <a:solidFill>
                        <a:schemeClr val="tx1"/>
                      </a:solidFill>
                    </a:ln>
                  </pic:spPr>
                </pic:pic>
              </a:graphicData>
            </a:graphic>
          </wp:inline>
        </w:drawing>
      </w:r>
    </w:p>
    <w:p w14:paraId="460ED3F0" w14:textId="56F3696A" w:rsidR="00F01BEB" w:rsidRDefault="00F01BEB" w:rsidP="00F01BEB">
      <w:pPr>
        <w:spacing w:before="240" w:after="240"/>
        <w:rPr>
          <w:rFonts w:asciiTheme="majorBidi" w:hAnsiTheme="majorBidi" w:cstheme="majorBidi"/>
          <w:color w:val="000000"/>
          <w:sz w:val="24"/>
          <w:szCs w:val="24"/>
        </w:rPr>
      </w:pPr>
      <w:r w:rsidRPr="00F01BEB">
        <w:rPr>
          <w:rFonts w:asciiTheme="majorBidi" w:hAnsiTheme="majorBidi" w:cstheme="majorBidi"/>
          <w:b/>
          <w:bCs/>
          <w:color w:val="000000"/>
          <w:sz w:val="24"/>
          <w:szCs w:val="24"/>
        </w:rPr>
        <w:t>Figure (1):</w:t>
      </w:r>
      <w:r w:rsidRPr="00F01BEB">
        <w:rPr>
          <w:rFonts w:asciiTheme="majorBidi" w:hAnsiTheme="majorBidi" w:cstheme="majorBidi"/>
          <w:color w:val="000000"/>
          <w:sz w:val="24"/>
          <w:szCs w:val="24"/>
        </w:rPr>
        <w:t xml:space="preserve"> </w:t>
      </w:r>
      <w:r w:rsidRPr="00F01BEB">
        <w:rPr>
          <w:rFonts w:asciiTheme="majorBidi" w:hAnsiTheme="majorBidi" w:cstheme="majorBidi"/>
          <w:b/>
          <w:bCs/>
          <w:color w:val="000000"/>
          <w:sz w:val="24"/>
          <w:szCs w:val="24"/>
        </w:rPr>
        <w:t>Cellular differentiation and mutational transformation of urothelial stem cells and dual pathways of carcinogenesis</w:t>
      </w:r>
      <w:r w:rsidRPr="00F01BEB">
        <w:rPr>
          <w:rFonts w:asciiTheme="majorBidi" w:hAnsiTheme="majorBidi" w:cstheme="majorBidi"/>
          <w:color w:val="000000"/>
          <w:sz w:val="24"/>
          <w:szCs w:val="24"/>
        </w:rPr>
        <w:t>. A: Cellular differentiation of UroSCs (present in form of clonal patches in basal layer) generate basal cells</w:t>
      </w:r>
      <w:r w:rsidR="00FB3EA8">
        <w:rPr>
          <w:rFonts w:asciiTheme="majorBidi" w:hAnsiTheme="majorBidi" w:cstheme="majorBidi"/>
          <w:color w:val="000000"/>
          <w:sz w:val="24"/>
          <w:szCs w:val="24"/>
        </w:rPr>
        <w:t>w</w:t>
      </w:r>
      <w:r w:rsidRPr="00F01BEB">
        <w:rPr>
          <w:rFonts w:asciiTheme="majorBidi" w:hAnsiTheme="majorBidi" w:cstheme="majorBidi"/>
          <w:color w:val="000000"/>
          <w:sz w:val="24"/>
          <w:szCs w:val="24"/>
        </w:rPr>
        <w:t xml:space="preserve"> which further differentiate to intermediate cells and then into single layer of umbrella cells; B: Mutational insults including epithelial plasticity result in malignant transformation of UroSCs into self-renewing UroCSCs which undergo aberrant activation and differentiation to form papillary NMIBCs and MIBCs; C: In vivo xenotransplantation of a small number of UroCSCs that have the potential for the regrowth of heterogeneous tumor cells</w:t>
      </w:r>
      <w:r w:rsidR="002D73F7">
        <w:rPr>
          <w:rFonts w:asciiTheme="majorBidi" w:hAnsiTheme="majorBidi" w:cstheme="majorBidi"/>
          <w:color w:val="000000"/>
          <w:sz w:val="24"/>
          <w:szCs w:val="24"/>
        </w:rPr>
        <w:t xml:space="preserve"> </w:t>
      </w:r>
      <w:r w:rsidRPr="00F01BEB">
        <w:rPr>
          <w:rFonts w:asciiTheme="majorBidi" w:hAnsiTheme="majorBidi" w:cstheme="majorBidi"/>
          <w:b/>
          <w:bCs/>
          <w:i/>
          <w:iCs/>
          <w:color w:val="000000"/>
          <w:sz w:val="24"/>
          <w:szCs w:val="24"/>
        </w:rPr>
        <w:t>(Garg, 2016)</w:t>
      </w:r>
      <w:r w:rsidRPr="00F01BEB">
        <w:rPr>
          <w:rFonts w:asciiTheme="majorBidi" w:hAnsiTheme="majorBidi" w:cstheme="majorBidi"/>
          <w:color w:val="000000"/>
          <w:sz w:val="24"/>
          <w:szCs w:val="24"/>
        </w:rPr>
        <w:t>.</w:t>
      </w:r>
    </w:p>
    <w:p w14:paraId="41E58A4F" w14:textId="77777777" w:rsidR="00F01BEB" w:rsidRDefault="00F01BEB" w:rsidP="00F01BEB">
      <w:pPr>
        <w:spacing w:before="240" w:after="240"/>
        <w:rPr>
          <w:rFonts w:asciiTheme="majorBidi" w:hAnsiTheme="majorBidi" w:cstheme="majorBidi"/>
          <w:b/>
          <w:bCs/>
          <w:i/>
          <w:iCs/>
          <w:color w:val="000000"/>
          <w:sz w:val="28"/>
          <w:szCs w:val="28"/>
        </w:rPr>
      </w:pPr>
      <w:r w:rsidRPr="007141DB">
        <w:rPr>
          <w:rFonts w:asciiTheme="majorBidi" w:hAnsiTheme="majorBidi" w:cstheme="majorBidi"/>
          <w:color w:val="000000"/>
          <w:sz w:val="28"/>
          <w:szCs w:val="28"/>
        </w:rPr>
        <w:t xml:space="preserve">Papillary tumors develop, when the hyperplastic urothelium starts to grow towards the lumen of the bladder, which is triggered by genetic alterations in several proto-oncogenes, including fibroblast growth factor receptor-3 (FGFR3) and </w:t>
      </w:r>
      <w:bookmarkStart w:id="5" w:name="_Hlk71752060"/>
      <w:r w:rsidRPr="007141DB">
        <w:rPr>
          <w:rFonts w:asciiTheme="majorBidi" w:hAnsiTheme="majorBidi" w:cstheme="majorBidi"/>
          <w:color w:val="000000"/>
          <w:sz w:val="28"/>
          <w:szCs w:val="28"/>
        </w:rPr>
        <w:t>Harvey rat sarcoma viral oncogene (HRAS</w:t>
      </w:r>
      <w:bookmarkEnd w:id="5"/>
      <w:r w:rsidRPr="007141DB">
        <w:rPr>
          <w:rFonts w:asciiTheme="majorBidi" w:hAnsiTheme="majorBidi" w:cstheme="majorBidi"/>
          <w:color w:val="000000"/>
          <w:sz w:val="28"/>
          <w:szCs w:val="28"/>
        </w:rPr>
        <w:t xml:space="preserve">) </w:t>
      </w:r>
      <w:r w:rsidRPr="00F01BEB">
        <w:rPr>
          <w:rFonts w:asciiTheme="majorBidi" w:hAnsiTheme="majorBidi" w:cstheme="majorBidi"/>
          <w:b/>
          <w:bCs/>
          <w:i/>
          <w:iCs/>
          <w:color w:val="000000"/>
          <w:sz w:val="28"/>
          <w:szCs w:val="28"/>
        </w:rPr>
        <w:t>(Castillo-Martin et al., 2010).</w:t>
      </w:r>
    </w:p>
    <w:p w14:paraId="1DF7D6A9" w14:textId="77777777" w:rsidR="00F01BEB" w:rsidRDefault="00F01BEB" w:rsidP="00F01BEB">
      <w:pPr>
        <w:spacing w:before="240" w:after="240"/>
        <w:rPr>
          <w:rFonts w:asciiTheme="majorBidi" w:hAnsiTheme="majorBidi" w:cstheme="majorBidi"/>
          <w:color w:val="000000"/>
          <w:sz w:val="24"/>
          <w:szCs w:val="24"/>
        </w:rPr>
      </w:pPr>
      <w:r w:rsidRPr="00590A58">
        <w:rPr>
          <w:rFonts w:asciiTheme="majorBidi" w:hAnsiTheme="majorBidi" w:cstheme="majorBidi"/>
          <w:color w:val="000000"/>
          <w:sz w:val="28"/>
          <w:szCs w:val="28"/>
        </w:rPr>
        <w:lastRenderedPageBreak/>
        <w:t xml:space="preserve">Although such tumors are non-muscle invasive and often associated with a positive prognosis, they tend to have a high recurrence rate </w:t>
      </w:r>
      <w:r w:rsidRPr="00162280">
        <w:rPr>
          <w:rFonts w:asciiTheme="majorBidi" w:hAnsiTheme="majorBidi" w:cstheme="majorBidi"/>
          <w:b/>
          <w:bCs/>
          <w:i/>
          <w:iCs/>
          <w:color w:val="000000"/>
          <w:sz w:val="28"/>
          <w:szCs w:val="28"/>
        </w:rPr>
        <w:t>(Thompson et al., 2015).</w:t>
      </w:r>
      <w:r w:rsidRPr="00590A58">
        <w:rPr>
          <w:rFonts w:asciiTheme="majorBidi" w:hAnsiTheme="majorBidi" w:cstheme="majorBidi"/>
          <w:color w:val="000000"/>
          <w:sz w:val="28"/>
          <w:szCs w:val="28"/>
        </w:rPr>
        <w:t xml:space="preserve"> Moreover, 20%-30% of such tumors can progress to more aggressive, </w:t>
      </w:r>
      <w:proofErr w:type="gramStart"/>
      <w:r w:rsidRPr="00590A58">
        <w:rPr>
          <w:rFonts w:asciiTheme="majorBidi" w:hAnsiTheme="majorBidi" w:cstheme="majorBidi"/>
          <w:color w:val="000000"/>
          <w:sz w:val="28"/>
          <w:szCs w:val="28"/>
        </w:rPr>
        <w:t>invasive</w:t>
      </w:r>
      <w:proofErr w:type="gramEnd"/>
      <w:r w:rsidRPr="00590A58">
        <w:rPr>
          <w:rFonts w:asciiTheme="majorBidi" w:hAnsiTheme="majorBidi" w:cstheme="majorBidi"/>
          <w:color w:val="000000"/>
          <w:sz w:val="28"/>
          <w:szCs w:val="28"/>
        </w:rPr>
        <w:t xml:space="preserve"> and metastatic bladder tumors with an overall survival rate of 5% </w:t>
      </w:r>
      <w:r w:rsidRPr="00FE2438">
        <w:rPr>
          <w:rFonts w:asciiTheme="majorBidi" w:hAnsiTheme="majorBidi" w:cstheme="majorBidi"/>
          <w:b/>
          <w:bCs/>
          <w:i/>
          <w:iCs/>
          <w:color w:val="000000"/>
          <w:sz w:val="28"/>
          <w:szCs w:val="28"/>
        </w:rPr>
        <w:t>(Garg, 2016)</w:t>
      </w:r>
      <w:r w:rsidRPr="00590A58">
        <w:rPr>
          <w:rFonts w:asciiTheme="majorBidi" w:hAnsiTheme="majorBidi" w:cstheme="majorBidi"/>
          <w:color w:val="000000"/>
          <w:sz w:val="28"/>
          <w:szCs w:val="28"/>
        </w:rPr>
        <w:t>.</w:t>
      </w:r>
    </w:p>
    <w:p w14:paraId="47F2E2B1" w14:textId="77777777" w:rsidR="00F01BEB" w:rsidRPr="00C40320" w:rsidRDefault="00F01BEB" w:rsidP="00C40320">
      <w:pPr>
        <w:spacing w:before="240" w:after="240"/>
        <w:rPr>
          <w:rFonts w:asciiTheme="majorBidi" w:hAnsiTheme="majorBidi" w:cstheme="majorBidi"/>
          <w:color w:val="000000"/>
          <w:sz w:val="24"/>
          <w:szCs w:val="24"/>
        </w:rPr>
      </w:pPr>
      <w:r w:rsidRPr="00590A58">
        <w:rPr>
          <w:rFonts w:asciiTheme="majorBidi" w:hAnsiTheme="majorBidi" w:cstheme="majorBidi"/>
          <w:color w:val="000000"/>
          <w:sz w:val="28"/>
          <w:szCs w:val="28"/>
        </w:rPr>
        <w:t xml:space="preserve">On the other hand, invasive urothelial cancers are thought to emerge from either severe dysplasia or </w:t>
      </w:r>
      <w:bookmarkStart w:id="6" w:name="_Hlk71752092"/>
      <w:r w:rsidRPr="00590A58">
        <w:rPr>
          <w:rFonts w:asciiTheme="majorBidi" w:hAnsiTheme="majorBidi" w:cstheme="majorBidi"/>
          <w:color w:val="000000"/>
          <w:sz w:val="28"/>
          <w:szCs w:val="28"/>
        </w:rPr>
        <w:t>carcinoma in situ (CIS</w:t>
      </w:r>
      <w:bookmarkEnd w:id="6"/>
      <w:r w:rsidRPr="00590A58">
        <w:rPr>
          <w:rFonts w:asciiTheme="majorBidi" w:hAnsiTheme="majorBidi" w:cstheme="majorBidi"/>
          <w:color w:val="000000"/>
          <w:sz w:val="28"/>
          <w:szCs w:val="28"/>
        </w:rPr>
        <w:t xml:space="preserve">). </w:t>
      </w:r>
      <w:proofErr w:type="gramStart"/>
      <w:r w:rsidRPr="00590A58">
        <w:rPr>
          <w:rFonts w:asciiTheme="majorBidi" w:hAnsiTheme="majorBidi" w:cstheme="majorBidi"/>
          <w:color w:val="000000"/>
          <w:sz w:val="28"/>
          <w:szCs w:val="28"/>
        </w:rPr>
        <w:t>Often</w:t>
      </w:r>
      <w:proofErr w:type="gramEnd"/>
      <w:r w:rsidRPr="00590A58">
        <w:rPr>
          <w:rFonts w:asciiTheme="majorBidi" w:hAnsiTheme="majorBidi" w:cstheme="majorBidi"/>
          <w:color w:val="000000"/>
          <w:sz w:val="28"/>
          <w:szCs w:val="28"/>
        </w:rPr>
        <w:t xml:space="preserve"> they are a result of inactivation of tumor suppressor genes </w:t>
      </w:r>
      <w:r>
        <w:rPr>
          <w:rFonts w:ascii="Times New Roman" w:hAnsi="Times New Roman" w:cs="Times New Roman"/>
          <w:sz w:val="28"/>
          <w:szCs w:val="28"/>
        </w:rPr>
        <w:t xml:space="preserve">p53, </w:t>
      </w:r>
      <w:bookmarkStart w:id="7" w:name="_Hlk71752144"/>
      <w:r>
        <w:rPr>
          <w:rFonts w:ascii="Times New Roman" w:hAnsi="Times New Roman" w:cs="Times New Roman"/>
          <w:sz w:val="28"/>
          <w:szCs w:val="28"/>
        </w:rPr>
        <w:t>Retinoblastoma (RB1) and Phosphatase and tensin homolog (PTEN)</w:t>
      </w:r>
      <w:bookmarkEnd w:id="7"/>
      <w:r>
        <w:rPr>
          <w:rFonts w:ascii="Times New Roman" w:hAnsi="Times New Roman" w:cs="Times New Roman"/>
          <w:sz w:val="28"/>
          <w:szCs w:val="28"/>
        </w:rPr>
        <w:t xml:space="preserve"> genes. </w:t>
      </w:r>
      <w:r w:rsidRPr="00590A58">
        <w:rPr>
          <w:rFonts w:asciiTheme="majorBidi" w:hAnsiTheme="majorBidi" w:cstheme="majorBidi"/>
          <w:color w:val="000000"/>
          <w:sz w:val="28"/>
          <w:szCs w:val="28"/>
        </w:rPr>
        <w:t>MIBCs have less favourable prognosis with five-year survival</w:t>
      </w:r>
      <w:r>
        <w:rPr>
          <w:rFonts w:asciiTheme="majorBidi" w:hAnsiTheme="majorBidi" w:cstheme="majorBidi"/>
          <w:color w:val="000000"/>
          <w:sz w:val="28"/>
          <w:szCs w:val="28"/>
        </w:rPr>
        <w:t xml:space="preserve"> </w:t>
      </w:r>
      <w:r>
        <w:rPr>
          <w:rFonts w:ascii="Times New Roman" w:hAnsi="Times New Roman" w:cs="Times New Roman"/>
          <w:b/>
          <w:bCs/>
          <w:i/>
          <w:iCs/>
          <w:sz w:val="28"/>
          <w:szCs w:val="28"/>
        </w:rPr>
        <w:t>(Pandith et al., 2013)</w:t>
      </w:r>
      <w:r>
        <w:rPr>
          <w:rFonts w:ascii="Times New Roman" w:hAnsi="Times New Roman" w:cs="Times New Roman"/>
          <w:sz w:val="28"/>
          <w:szCs w:val="28"/>
        </w:rPr>
        <w:t>.</w:t>
      </w:r>
      <w:r w:rsidRPr="00F01BEB">
        <w:rPr>
          <w:rFonts w:asciiTheme="majorBidi" w:hAnsiTheme="majorBidi" w:cstheme="majorBidi"/>
          <w:color w:val="000000"/>
          <w:sz w:val="24"/>
          <w:szCs w:val="24"/>
        </w:rPr>
        <w:t xml:space="preserve"> </w:t>
      </w:r>
    </w:p>
    <w:p w14:paraId="4BEF7D36" w14:textId="77777777" w:rsidR="00CC458A" w:rsidRPr="009A768B" w:rsidRDefault="00CC458A" w:rsidP="00C226F7">
      <w:pPr>
        <w:autoSpaceDE w:val="0"/>
        <w:autoSpaceDN w:val="0"/>
        <w:adjustRightInd w:val="0"/>
        <w:spacing w:line="240" w:lineRule="auto"/>
        <w:ind w:firstLine="90"/>
        <w:rPr>
          <w:rFonts w:asciiTheme="majorBidi" w:hAnsiTheme="majorBidi" w:cstheme="majorBidi"/>
          <w:b/>
          <w:bCs/>
          <w:color w:val="000000"/>
          <w:sz w:val="36"/>
          <w:szCs w:val="36"/>
          <w:u w:val="single"/>
        </w:rPr>
      </w:pPr>
      <w:r w:rsidRPr="009A768B">
        <w:rPr>
          <w:rFonts w:asciiTheme="majorBidi" w:hAnsiTheme="majorBidi" w:cstheme="majorBidi"/>
          <w:b/>
          <w:bCs/>
          <w:color w:val="000000"/>
          <w:sz w:val="36"/>
          <w:szCs w:val="36"/>
          <w:u w:val="single"/>
        </w:rPr>
        <w:t>Risk Factors:</w:t>
      </w:r>
    </w:p>
    <w:p w14:paraId="3DA36373" w14:textId="77777777" w:rsidR="00CC458A" w:rsidRPr="00CC458A" w:rsidRDefault="00CC458A" w:rsidP="00CC458A">
      <w:pPr>
        <w:autoSpaceDE w:val="0"/>
        <w:autoSpaceDN w:val="0"/>
        <w:adjustRightInd w:val="0"/>
        <w:spacing w:before="120" w:after="120"/>
        <w:rPr>
          <w:rFonts w:ascii="Times New Roman" w:hAnsi="Times New Roman" w:cs="Times New Roman"/>
          <w:sz w:val="28"/>
          <w:szCs w:val="28"/>
        </w:rPr>
      </w:pPr>
      <w:r w:rsidRPr="00CC458A">
        <w:rPr>
          <w:rFonts w:ascii="Times New Roman" w:hAnsi="Times New Roman" w:cs="Times New Roman"/>
          <w:sz w:val="28"/>
          <w:szCs w:val="28"/>
        </w:rPr>
        <w:t xml:space="preserve">Several factors have different impacts on the incidence and pathophysiology of BC. This phenomenon is called etiologic fraction or attributable risk </w:t>
      </w:r>
      <w:r w:rsidRPr="00CC458A">
        <w:rPr>
          <w:rFonts w:ascii="Times New Roman" w:hAnsi="Times New Roman" w:cs="Times New Roman"/>
          <w:b/>
          <w:bCs/>
          <w:i/>
          <w:iCs/>
          <w:sz w:val="28"/>
          <w:szCs w:val="28"/>
        </w:rPr>
        <w:t>(Burger et al., 2013</w:t>
      </w:r>
      <w:proofErr w:type="gramStart"/>
      <w:r w:rsidRPr="00CC458A">
        <w:rPr>
          <w:rFonts w:ascii="Times New Roman" w:hAnsi="Times New Roman" w:cs="Times New Roman"/>
          <w:b/>
          <w:bCs/>
          <w:i/>
          <w:iCs/>
          <w:sz w:val="28"/>
          <w:szCs w:val="28"/>
        </w:rPr>
        <w:t>)</w:t>
      </w:r>
      <w:r w:rsidRPr="00CC458A">
        <w:rPr>
          <w:rFonts w:ascii="Times New Roman" w:hAnsi="Times New Roman" w:cs="Times New Roman"/>
          <w:sz w:val="28"/>
          <w:szCs w:val="28"/>
        </w:rPr>
        <w:t>.These</w:t>
      </w:r>
      <w:proofErr w:type="gramEnd"/>
      <w:r w:rsidRPr="00CC458A">
        <w:rPr>
          <w:rFonts w:ascii="Times New Roman" w:hAnsi="Times New Roman" w:cs="Times New Roman"/>
          <w:sz w:val="28"/>
          <w:szCs w:val="28"/>
        </w:rPr>
        <w:t xml:space="preserve"> factors include:</w:t>
      </w:r>
    </w:p>
    <w:p w14:paraId="402AFCA8" w14:textId="77777777" w:rsidR="00CC458A" w:rsidRPr="00CC458A" w:rsidRDefault="00CC458A" w:rsidP="00CC458A">
      <w:pPr>
        <w:autoSpaceDE w:val="0"/>
        <w:autoSpaceDN w:val="0"/>
        <w:adjustRightInd w:val="0"/>
        <w:spacing w:before="120" w:after="120"/>
        <w:ind w:firstLine="90"/>
        <w:rPr>
          <w:rFonts w:ascii="Times New Roman" w:hAnsi="Times New Roman" w:cs="Times New Roman"/>
          <w:b/>
          <w:bCs/>
          <w:sz w:val="32"/>
          <w:szCs w:val="32"/>
        </w:rPr>
      </w:pPr>
      <w:r w:rsidRPr="00CC458A">
        <w:rPr>
          <w:rFonts w:ascii="Times New Roman" w:hAnsi="Times New Roman" w:cs="Times New Roman"/>
          <w:b/>
          <w:bCs/>
          <w:sz w:val="32"/>
          <w:szCs w:val="32"/>
        </w:rPr>
        <w:t>1. Smoking:</w:t>
      </w:r>
    </w:p>
    <w:p w14:paraId="4C2B969E" w14:textId="77777777" w:rsidR="00F90D85" w:rsidRDefault="00F90D85" w:rsidP="00CC458A">
      <w:pPr>
        <w:autoSpaceDE w:val="0"/>
        <w:autoSpaceDN w:val="0"/>
        <w:adjustRightInd w:val="0"/>
        <w:spacing w:before="120" w:after="120"/>
        <w:rPr>
          <w:rFonts w:asciiTheme="majorBidi" w:hAnsiTheme="majorBidi" w:cstheme="majorBidi"/>
          <w:sz w:val="28"/>
          <w:szCs w:val="28"/>
        </w:rPr>
      </w:pPr>
      <w:r w:rsidRPr="00BD2DAA">
        <w:rPr>
          <w:rFonts w:asciiTheme="majorBidi" w:hAnsiTheme="majorBidi" w:cstheme="majorBidi"/>
          <w:sz w:val="28"/>
          <w:szCs w:val="28"/>
        </w:rPr>
        <w:t xml:space="preserve">Tobacco smoking is the most well-established risk factor for BC, causing 50-65% of male cases and 20-30% of female cases </w:t>
      </w:r>
      <w:r w:rsidRPr="00BD2DAA">
        <w:rPr>
          <w:rFonts w:asciiTheme="majorBidi" w:hAnsiTheme="majorBidi" w:cstheme="majorBidi"/>
          <w:b/>
          <w:bCs/>
          <w:i/>
          <w:iCs/>
          <w:color w:val="000000"/>
          <w:sz w:val="28"/>
          <w:szCs w:val="32"/>
        </w:rPr>
        <w:t>(van Osch et al., 2016)</w:t>
      </w:r>
      <w:r w:rsidRPr="00BD2DAA">
        <w:rPr>
          <w:rFonts w:asciiTheme="majorBidi" w:hAnsiTheme="majorBidi" w:cstheme="majorBidi"/>
          <w:sz w:val="28"/>
          <w:szCs w:val="28"/>
        </w:rPr>
        <w:t xml:space="preserve">. The incidence of BC is directly related to the duration of smoking and the number of cigarettes smoked per day </w:t>
      </w:r>
      <w:r w:rsidRPr="00BD2DAA">
        <w:rPr>
          <w:rFonts w:asciiTheme="majorBidi" w:hAnsiTheme="majorBidi" w:cstheme="majorBidi"/>
          <w:b/>
          <w:bCs/>
          <w:i/>
          <w:iCs/>
          <w:color w:val="000000"/>
          <w:sz w:val="28"/>
          <w:szCs w:val="32"/>
        </w:rPr>
        <w:t>(Freedman et al., 2011)</w:t>
      </w:r>
      <w:r w:rsidRPr="00BD2DAA">
        <w:rPr>
          <w:rFonts w:asciiTheme="majorBidi" w:hAnsiTheme="majorBidi" w:cstheme="majorBidi"/>
          <w:sz w:val="28"/>
          <w:szCs w:val="28"/>
        </w:rPr>
        <w:t>.</w:t>
      </w:r>
    </w:p>
    <w:p w14:paraId="3F3E0038" w14:textId="77777777" w:rsidR="00CC458A" w:rsidRPr="00CC458A" w:rsidRDefault="00F90D85" w:rsidP="00CC458A">
      <w:pPr>
        <w:autoSpaceDE w:val="0"/>
        <w:autoSpaceDN w:val="0"/>
        <w:adjustRightInd w:val="0"/>
        <w:spacing w:before="120" w:after="120"/>
        <w:rPr>
          <w:rFonts w:ascii="Times New Roman" w:hAnsi="Times New Roman" w:cs="Times New Roman"/>
          <w:sz w:val="28"/>
          <w:szCs w:val="28"/>
        </w:rPr>
      </w:pPr>
      <w:r>
        <w:rPr>
          <w:rFonts w:ascii="Times New Roman" w:hAnsi="Times New Roman" w:cs="Times New Roman"/>
          <w:sz w:val="28"/>
          <w:szCs w:val="28"/>
        </w:rPr>
        <w:t>C</w:t>
      </w:r>
      <w:r w:rsidR="00CC458A" w:rsidRPr="00CC458A">
        <w:rPr>
          <w:rFonts w:ascii="Times New Roman" w:hAnsi="Times New Roman" w:cs="Times New Roman"/>
          <w:sz w:val="28"/>
          <w:szCs w:val="28"/>
        </w:rPr>
        <w:t xml:space="preserve">igarette smokers have a 2- to 4-fold increased risk of bladder cancer compared to non-smokers </w:t>
      </w:r>
      <w:r w:rsidR="00CC458A" w:rsidRPr="00CC458A">
        <w:rPr>
          <w:rFonts w:ascii="Times New Roman" w:hAnsi="Times New Roman" w:cs="Times New Roman"/>
          <w:b/>
          <w:bCs/>
          <w:i/>
          <w:iCs/>
          <w:sz w:val="28"/>
          <w:szCs w:val="28"/>
        </w:rPr>
        <w:t>(Kirkali et al., 2005)</w:t>
      </w:r>
      <w:r w:rsidR="00CC458A" w:rsidRPr="00CC458A">
        <w:rPr>
          <w:rFonts w:ascii="Times New Roman" w:hAnsi="Times New Roman" w:cs="Times New Roman"/>
          <w:sz w:val="28"/>
          <w:szCs w:val="28"/>
        </w:rPr>
        <w:t xml:space="preserve">, and the risk increases with increasing intensity and/or duration of smoking. Upon cessation of cigarette smoking, the risk of bladder cancer falls &gt;30% after 1–4 y and &gt;60% after 25 y but never returns to the level of risk of non-smokers </w:t>
      </w:r>
      <w:r w:rsidR="00CC458A" w:rsidRPr="00CC458A">
        <w:rPr>
          <w:rFonts w:ascii="Times New Roman" w:hAnsi="Times New Roman" w:cs="Times New Roman"/>
          <w:b/>
          <w:bCs/>
          <w:i/>
          <w:iCs/>
          <w:sz w:val="28"/>
          <w:szCs w:val="28"/>
        </w:rPr>
        <w:t>(Colombel et al., 2008)</w:t>
      </w:r>
      <w:r w:rsidR="00CC458A" w:rsidRPr="00CC458A">
        <w:rPr>
          <w:rFonts w:ascii="Times New Roman" w:hAnsi="Times New Roman" w:cs="Times New Roman"/>
          <w:sz w:val="28"/>
          <w:szCs w:val="28"/>
        </w:rPr>
        <w:t>.</w:t>
      </w:r>
    </w:p>
    <w:p w14:paraId="489B2F7F" w14:textId="77777777" w:rsidR="00CC458A" w:rsidRDefault="00CC458A" w:rsidP="00CC458A">
      <w:pPr>
        <w:spacing w:before="120" w:after="120"/>
        <w:rPr>
          <w:rFonts w:ascii="Times New Roman" w:hAnsi="Times New Roman" w:cs="Times New Roman"/>
          <w:color w:val="000000"/>
          <w:sz w:val="28"/>
          <w:szCs w:val="28"/>
        </w:rPr>
      </w:pPr>
      <w:r w:rsidRPr="00CC458A">
        <w:rPr>
          <w:rFonts w:ascii="Times New Roman" w:hAnsi="Times New Roman" w:cs="Times New Roman"/>
          <w:sz w:val="28"/>
          <w:szCs w:val="28"/>
        </w:rPr>
        <w:t xml:space="preserve">Tobacco smoke contains aromatic amines, such as-naphthylamine, and polycyclic aromatic hydrocarbons known to cause BC. These are renally </w:t>
      </w:r>
      <w:r w:rsidRPr="00CC458A">
        <w:rPr>
          <w:rFonts w:ascii="Times New Roman" w:hAnsi="Times New Roman" w:cs="Times New Roman"/>
          <w:sz w:val="28"/>
          <w:szCs w:val="28"/>
        </w:rPr>
        <w:lastRenderedPageBreak/>
        <w:t xml:space="preserve">excreted and exert a carcinogenic effect on the entire urinary system </w:t>
      </w:r>
      <w:r w:rsidRPr="00CC458A">
        <w:rPr>
          <w:rFonts w:ascii="Times New Roman" w:hAnsi="Times New Roman" w:cs="Times New Roman"/>
          <w:b/>
          <w:bCs/>
          <w:i/>
          <w:iCs/>
          <w:sz w:val="28"/>
          <w:szCs w:val="28"/>
        </w:rPr>
        <w:t>(Burger</w:t>
      </w:r>
      <w:r w:rsidRPr="00CC458A">
        <w:rPr>
          <w:rFonts w:ascii="Times New Roman" w:hAnsi="Times New Roman" w:cs="Times New Roman"/>
          <w:b/>
          <w:bCs/>
          <w:i/>
          <w:iCs/>
          <w:color w:val="000000"/>
          <w:sz w:val="28"/>
          <w:szCs w:val="28"/>
        </w:rPr>
        <w:t xml:space="preserve"> et al., 2013)</w:t>
      </w:r>
      <w:r>
        <w:rPr>
          <w:rFonts w:ascii="Times New Roman" w:hAnsi="Times New Roman" w:cs="Times New Roman"/>
          <w:color w:val="000000"/>
          <w:sz w:val="28"/>
          <w:szCs w:val="28"/>
        </w:rPr>
        <w:t>.</w:t>
      </w:r>
    </w:p>
    <w:p w14:paraId="0479FC19" w14:textId="77777777" w:rsidR="00CC458A" w:rsidRPr="00CC458A" w:rsidRDefault="00CC458A" w:rsidP="00CC458A">
      <w:pPr>
        <w:autoSpaceDE w:val="0"/>
        <w:autoSpaceDN w:val="0"/>
        <w:adjustRightInd w:val="0"/>
        <w:spacing w:before="120" w:after="120"/>
        <w:ind w:firstLine="90"/>
        <w:rPr>
          <w:rFonts w:asciiTheme="majorBidi" w:hAnsiTheme="majorBidi" w:cstheme="majorBidi"/>
          <w:b/>
          <w:bCs/>
          <w:sz w:val="32"/>
          <w:szCs w:val="32"/>
        </w:rPr>
      </w:pPr>
      <w:r w:rsidRPr="00CC458A">
        <w:rPr>
          <w:rFonts w:asciiTheme="majorBidi" w:hAnsiTheme="majorBidi" w:cstheme="majorBidi"/>
          <w:b/>
          <w:bCs/>
          <w:sz w:val="32"/>
          <w:szCs w:val="32"/>
        </w:rPr>
        <w:t>2. Occupational risk:</w:t>
      </w:r>
    </w:p>
    <w:p w14:paraId="56C90035" w14:textId="77777777" w:rsidR="00CC458A" w:rsidRPr="00CC458A" w:rsidRDefault="00CC458A" w:rsidP="00CC458A">
      <w:pPr>
        <w:autoSpaceDE w:val="0"/>
        <w:autoSpaceDN w:val="0"/>
        <w:adjustRightInd w:val="0"/>
        <w:spacing w:before="120" w:after="120"/>
        <w:rPr>
          <w:rFonts w:asciiTheme="majorBidi" w:hAnsiTheme="majorBidi" w:cstheme="majorBidi"/>
          <w:sz w:val="28"/>
          <w:szCs w:val="28"/>
        </w:rPr>
      </w:pPr>
      <w:r w:rsidRPr="00CC458A">
        <w:rPr>
          <w:rFonts w:asciiTheme="majorBidi" w:hAnsiTheme="majorBidi" w:cstheme="majorBidi"/>
          <w:sz w:val="28"/>
          <w:szCs w:val="28"/>
        </w:rPr>
        <w:t xml:space="preserve">Occupational exposure to urothelial carcinogens is the second most important risk factor, accounting for 5–20% of all bladder cancers </w:t>
      </w:r>
      <w:r w:rsidRPr="00CC458A">
        <w:rPr>
          <w:rFonts w:asciiTheme="majorBidi" w:hAnsiTheme="majorBidi" w:cstheme="majorBidi"/>
          <w:b/>
          <w:bCs/>
          <w:i/>
          <w:iCs/>
          <w:sz w:val="28"/>
          <w:szCs w:val="28"/>
        </w:rPr>
        <w:t>(Kogevinas et al., 2003)</w:t>
      </w:r>
      <w:r w:rsidRPr="00CC458A">
        <w:rPr>
          <w:rFonts w:asciiTheme="majorBidi" w:hAnsiTheme="majorBidi" w:cstheme="majorBidi"/>
          <w:sz w:val="28"/>
          <w:szCs w:val="28"/>
        </w:rPr>
        <w:t>.</w:t>
      </w:r>
    </w:p>
    <w:p w14:paraId="7819C2C6" w14:textId="498B8B8C" w:rsidR="00CC458A" w:rsidRDefault="00F90D85" w:rsidP="00416575">
      <w:pPr>
        <w:autoSpaceDE w:val="0"/>
        <w:autoSpaceDN w:val="0"/>
        <w:adjustRightInd w:val="0"/>
        <w:spacing w:before="120" w:after="120"/>
        <w:rPr>
          <w:rFonts w:asciiTheme="majorBidi" w:hAnsiTheme="majorBidi" w:cstheme="majorBidi"/>
          <w:sz w:val="28"/>
          <w:szCs w:val="28"/>
        </w:rPr>
      </w:pPr>
      <w:r w:rsidRPr="00F90D85">
        <w:rPr>
          <w:rFonts w:asciiTheme="majorBidi" w:hAnsiTheme="majorBidi" w:cstheme="majorBidi"/>
          <w:sz w:val="28"/>
          <w:szCs w:val="28"/>
        </w:rPr>
        <w:t>The most important risk factor for developing BC after smoking is exposure to aromatic amines.</w:t>
      </w:r>
      <w:r>
        <w:t xml:space="preserve"> </w:t>
      </w:r>
      <w:r w:rsidR="00416575">
        <w:rPr>
          <w:rFonts w:asciiTheme="majorBidi" w:hAnsiTheme="majorBidi" w:cstheme="majorBidi"/>
          <w:sz w:val="28"/>
          <w:szCs w:val="28"/>
        </w:rPr>
        <w:t xml:space="preserve">Current or historical </w:t>
      </w:r>
      <w:r w:rsidR="00CC458A" w:rsidRPr="00CC458A">
        <w:rPr>
          <w:rFonts w:asciiTheme="majorBidi" w:hAnsiTheme="majorBidi" w:cstheme="majorBidi"/>
          <w:sz w:val="28"/>
          <w:szCs w:val="28"/>
        </w:rPr>
        <w:t>exposure to aromatic amines</w:t>
      </w:r>
      <w:r>
        <w:rPr>
          <w:rFonts w:asciiTheme="majorBidi" w:hAnsiTheme="majorBidi" w:cstheme="majorBidi"/>
          <w:sz w:val="28"/>
          <w:szCs w:val="28"/>
        </w:rPr>
        <w:t xml:space="preserve"> </w:t>
      </w:r>
      <w:r w:rsidR="00CC458A" w:rsidRPr="00CC458A">
        <w:rPr>
          <w:rFonts w:asciiTheme="majorBidi" w:hAnsiTheme="majorBidi" w:cstheme="majorBidi"/>
          <w:sz w:val="28"/>
          <w:szCs w:val="28"/>
        </w:rPr>
        <w:t>(</w:t>
      </w:r>
      <w:r w:rsidR="00F27BE6" w:rsidRPr="00CC458A">
        <w:rPr>
          <w:rFonts w:asciiTheme="majorBidi" w:hAnsiTheme="majorBidi" w:cstheme="majorBidi"/>
          <w:sz w:val="28"/>
          <w:szCs w:val="28"/>
        </w:rPr>
        <w:t>e.g.,</w:t>
      </w:r>
      <w:r w:rsidR="00CC458A" w:rsidRPr="00CC458A">
        <w:rPr>
          <w:rFonts w:asciiTheme="majorBidi" w:hAnsiTheme="majorBidi" w:cstheme="majorBidi"/>
          <w:sz w:val="28"/>
          <w:szCs w:val="28"/>
        </w:rPr>
        <w:t xml:space="preserve"> benzidine, 2-naphthylamine and 4-aminobiphenyl) have all been associated with the development of bladder cancer.</w:t>
      </w:r>
      <w:r w:rsidR="00416575" w:rsidRPr="00416575">
        <w:t xml:space="preserve"> </w:t>
      </w:r>
      <w:r w:rsidR="00416575" w:rsidRPr="00416575">
        <w:rPr>
          <w:rFonts w:asciiTheme="majorBidi" w:hAnsiTheme="majorBidi" w:cstheme="majorBidi"/>
          <w:sz w:val="28"/>
          <w:szCs w:val="28"/>
        </w:rPr>
        <w:t xml:space="preserve">These compounds are found in dyes, chemical compounds, rubber, hair coloring dyes, cigarette smoke, plastics, vehicle smoke, paint products, and fungicides </w:t>
      </w:r>
      <w:r w:rsidR="00416575" w:rsidRPr="00416575">
        <w:rPr>
          <w:rFonts w:asciiTheme="majorBidi" w:hAnsiTheme="majorBidi" w:cstheme="majorBidi"/>
          <w:b/>
          <w:bCs/>
          <w:i/>
          <w:iCs/>
          <w:sz w:val="28"/>
          <w:szCs w:val="28"/>
        </w:rPr>
        <w:t xml:space="preserve">(Letašiová et al., 2012). </w:t>
      </w:r>
      <w:r w:rsidR="00CC458A" w:rsidRPr="00416575">
        <w:rPr>
          <w:rFonts w:asciiTheme="majorBidi" w:hAnsiTheme="majorBidi" w:cstheme="majorBidi"/>
          <w:b/>
          <w:bCs/>
          <w:i/>
          <w:iCs/>
          <w:sz w:val="28"/>
          <w:szCs w:val="28"/>
        </w:rPr>
        <w:t xml:space="preserve"> </w:t>
      </w:r>
      <w:r w:rsidR="00CC458A" w:rsidRPr="00CC458A">
        <w:rPr>
          <w:rFonts w:asciiTheme="majorBidi" w:hAnsiTheme="majorBidi" w:cstheme="majorBidi"/>
          <w:sz w:val="28"/>
          <w:szCs w:val="28"/>
        </w:rPr>
        <w:t xml:space="preserve">An increased risk </w:t>
      </w:r>
      <w:r w:rsidR="00416575">
        <w:rPr>
          <w:rFonts w:asciiTheme="majorBidi" w:hAnsiTheme="majorBidi" w:cstheme="majorBidi"/>
          <w:sz w:val="28"/>
          <w:szCs w:val="28"/>
        </w:rPr>
        <w:t xml:space="preserve">of </w:t>
      </w:r>
      <w:r w:rsidR="00416575" w:rsidRPr="00416575">
        <w:rPr>
          <w:rFonts w:asciiTheme="majorBidi" w:hAnsiTheme="majorBidi" w:cstheme="majorBidi"/>
          <w:sz w:val="28"/>
          <w:szCs w:val="28"/>
        </w:rPr>
        <w:t>non-smoking BC in individuals exposed to aromatic amines, including people working in different industries such as rubber and leather producers, weavers, colored product workers, and printing companies</w:t>
      </w:r>
      <w:r w:rsidR="00416575">
        <w:t xml:space="preserve"> </w:t>
      </w:r>
      <w:r w:rsidR="00CC458A" w:rsidRPr="00416575">
        <w:rPr>
          <w:rFonts w:asciiTheme="majorBidi" w:hAnsiTheme="majorBidi" w:cstheme="majorBidi"/>
          <w:b/>
          <w:bCs/>
          <w:i/>
          <w:iCs/>
          <w:sz w:val="28"/>
          <w:szCs w:val="28"/>
        </w:rPr>
        <w:t>(</w:t>
      </w:r>
      <w:r w:rsidR="00416575" w:rsidRPr="00416575">
        <w:rPr>
          <w:rFonts w:asciiTheme="majorBidi" w:hAnsiTheme="majorBidi" w:cstheme="majorBidi"/>
          <w:b/>
          <w:bCs/>
          <w:i/>
          <w:iCs/>
          <w:sz w:val="28"/>
          <w:szCs w:val="28"/>
        </w:rPr>
        <w:t>Carreón et al., 2010</w:t>
      </w:r>
      <w:r w:rsidR="00CC458A" w:rsidRPr="00CC458A">
        <w:rPr>
          <w:rFonts w:asciiTheme="majorBidi" w:hAnsiTheme="majorBidi" w:cstheme="majorBidi"/>
          <w:b/>
          <w:bCs/>
          <w:i/>
          <w:iCs/>
          <w:sz w:val="28"/>
          <w:szCs w:val="28"/>
        </w:rPr>
        <w:t>)</w:t>
      </w:r>
      <w:r w:rsidR="00CC458A" w:rsidRPr="00CC458A">
        <w:rPr>
          <w:rFonts w:asciiTheme="majorBidi" w:hAnsiTheme="majorBidi" w:cstheme="majorBidi"/>
          <w:sz w:val="28"/>
          <w:szCs w:val="28"/>
        </w:rPr>
        <w:t>.</w:t>
      </w:r>
    </w:p>
    <w:p w14:paraId="4BA2CD39" w14:textId="0C3BD374" w:rsidR="00416575" w:rsidRPr="00CC458A" w:rsidRDefault="00A61DAD" w:rsidP="00FA503B">
      <w:pPr>
        <w:rPr>
          <w:rFonts w:asciiTheme="majorBidi" w:hAnsiTheme="majorBidi" w:cstheme="majorBidi"/>
          <w:sz w:val="28"/>
          <w:szCs w:val="28"/>
        </w:rPr>
      </w:pPr>
      <w:r w:rsidRPr="00BD2DAA">
        <w:rPr>
          <w:rFonts w:asciiTheme="majorBidi" w:hAnsiTheme="majorBidi" w:cstheme="majorBidi"/>
          <w:sz w:val="28"/>
          <w:szCs w:val="28"/>
        </w:rPr>
        <w:t xml:space="preserve">The chemicals involved have contributed minimally to the current incidence of BC in Western countries because of strict regulations. Importantly, in recent years, the extent and pattern of occupational exposure have changed because awareness has prompted safety measures, and population-based studies established the occupational attribution for BC in men to be 7.1%, while no such attribution was discernible for women </w:t>
      </w:r>
      <w:r w:rsidRPr="00BD2DAA">
        <w:rPr>
          <w:rFonts w:asciiTheme="majorBidi" w:hAnsiTheme="majorBidi" w:cstheme="majorBidi"/>
          <w:b/>
          <w:bCs/>
          <w:i/>
          <w:iCs/>
          <w:sz w:val="28"/>
          <w:szCs w:val="28"/>
        </w:rPr>
        <w:t>(Burger et al., 2013)</w:t>
      </w:r>
      <w:r w:rsidRPr="00BD2DAA">
        <w:rPr>
          <w:rFonts w:asciiTheme="majorBidi" w:hAnsiTheme="majorBidi" w:cstheme="majorBidi"/>
          <w:sz w:val="28"/>
          <w:szCs w:val="28"/>
        </w:rPr>
        <w:t xml:space="preserve">. </w:t>
      </w:r>
    </w:p>
    <w:p w14:paraId="3FA7E7E3" w14:textId="77777777" w:rsidR="00CC458A" w:rsidRPr="00CC458A" w:rsidRDefault="00CC458A" w:rsidP="00CC458A">
      <w:pPr>
        <w:autoSpaceDE w:val="0"/>
        <w:autoSpaceDN w:val="0"/>
        <w:adjustRightInd w:val="0"/>
        <w:spacing w:before="120" w:after="120"/>
        <w:ind w:firstLine="90"/>
        <w:rPr>
          <w:rFonts w:asciiTheme="majorBidi" w:hAnsiTheme="majorBidi" w:cstheme="majorBidi"/>
          <w:b/>
          <w:bCs/>
          <w:sz w:val="32"/>
          <w:szCs w:val="32"/>
        </w:rPr>
      </w:pPr>
      <w:r w:rsidRPr="00CC458A">
        <w:rPr>
          <w:rFonts w:asciiTheme="majorBidi" w:hAnsiTheme="majorBidi" w:cstheme="majorBidi"/>
          <w:b/>
          <w:bCs/>
          <w:sz w:val="32"/>
          <w:szCs w:val="32"/>
        </w:rPr>
        <w:t>3. Medical conditions:</w:t>
      </w:r>
    </w:p>
    <w:p w14:paraId="2777C3B0" w14:textId="77777777" w:rsidR="00CC458A" w:rsidRPr="00CC458A" w:rsidRDefault="00CC458A" w:rsidP="00CC458A">
      <w:pPr>
        <w:autoSpaceDE w:val="0"/>
        <w:autoSpaceDN w:val="0"/>
        <w:adjustRightInd w:val="0"/>
        <w:spacing w:before="120" w:after="120"/>
        <w:rPr>
          <w:rFonts w:asciiTheme="majorBidi" w:hAnsiTheme="majorBidi" w:cstheme="majorBidi"/>
          <w:sz w:val="28"/>
          <w:szCs w:val="28"/>
        </w:rPr>
      </w:pPr>
      <w:r w:rsidRPr="00CC458A">
        <w:rPr>
          <w:rFonts w:asciiTheme="majorBidi" w:hAnsiTheme="majorBidi" w:cstheme="majorBidi"/>
          <w:sz w:val="28"/>
          <w:szCs w:val="28"/>
        </w:rPr>
        <w:t xml:space="preserve">Medical conditions may predispose individuals to bladder tumorigenesis through direct causation or as a side effect of treatment. Examples of direct causative roles include (a) chronic urinary retention and upper tract dilation </w:t>
      </w:r>
      <w:r w:rsidRPr="00CC458A">
        <w:rPr>
          <w:rFonts w:asciiTheme="majorBidi" w:hAnsiTheme="majorBidi" w:cstheme="majorBidi"/>
          <w:sz w:val="28"/>
          <w:szCs w:val="28"/>
        </w:rPr>
        <w:lastRenderedPageBreak/>
        <w:t xml:space="preserve">increasing urothelial exposure to carcinogens and (b) carcinogenesis associated with chronic inflammation or schistosomiasis </w:t>
      </w:r>
      <w:r w:rsidRPr="00CC458A">
        <w:rPr>
          <w:rFonts w:asciiTheme="majorBidi" w:hAnsiTheme="majorBidi" w:cstheme="majorBidi"/>
          <w:b/>
          <w:bCs/>
          <w:i/>
          <w:iCs/>
          <w:sz w:val="28"/>
          <w:szCs w:val="28"/>
        </w:rPr>
        <w:t>(Burger et al., 2013)</w:t>
      </w:r>
      <w:r w:rsidRPr="00CC458A">
        <w:rPr>
          <w:rFonts w:asciiTheme="majorBidi" w:hAnsiTheme="majorBidi" w:cstheme="majorBidi"/>
          <w:sz w:val="28"/>
          <w:szCs w:val="28"/>
        </w:rPr>
        <w:t xml:space="preserve">. Squamous cell carcinoma of the urinary bladder has been known for many years to be associated with Schistosoma haematobium infection </w:t>
      </w:r>
      <w:r w:rsidRPr="00CC458A">
        <w:rPr>
          <w:rFonts w:asciiTheme="majorBidi" w:hAnsiTheme="majorBidi" w:cstheme="majorBidi"/>
          <w:b/>
          <w:bCs/>
          <w:i/>
          <w:iCs/>
          <w:sz w:val="28"/>
          <w:szCs w:val="28"/>
        </w:rPr>
        <w:t>(Kirkali et al., 2005)</w:t>
      </w:r>
      <w:r w:rsidRPr="00CC458A">
        <w:rPr>
          <w:rFonts w:asciiTheme="majorBidi" w:hAnsiTheme="majorBidi" w:cstheme="majorBidi"/>
          <w:sz w:val="28"/>
          <w:szCs w:val="28"/>
        </w:rPr>
        <w:t>.</w:t>
      </w:r>
    </w:p>
    <w:p w14:paraId="389AF0B5" w14:textId="77777777" w:rsidR="00CC458A" w:rsidRPr="00CC458A" w:rsidRDefault="00CC458A" w:rsidP="00CC458A">
      <w:pPr>
        <w:autoSpaceDE w:val="0"/>
        <w:autoSpaceDN w:val="0"/>
        <w:adjustRightInd w:val="0"/>
        <w:spacing w:before="120" w:after="120"/>
        <w:rPr>
          <w:rFonts w:asciiTheme="majorBidi" w:hAnsiTheme="majorBidi" w:cstheme="majorBidi"/>
          <w:sz w:val="28"/>
          <w:szCs w:val="28"/>
        </w:rPr>
      </w:pPr>
      <w:proofErr w:type="gramStart"/>
      <w:r w:rsidRPr="00CC458A">
        <w:rPr>
          <w:rFonts w:asciiTheme="majorBidi" w:hAnsiTheme="majorBidi" w:cstheme="majorBidi"/>
          <w:sz w:val="28"/>
          <w:szCs w:val="28"/>
        </w:rPr>
        <w:t>With regard to</w:t>
      </w:r>
      <w:proofErr w:type="gramEnd"/>
      <w:r w:rsidRPr="00CC458A">
        <w:rPr>
          <w:rFonts w:asciiTheme="majorBidi" w:hAnsiTheme="majorBidi" w:cstheme="majorBidi"/>
          <w:sz w:val="28"/>
          <w:szCs w:val="28"/>
        </w:rPr>
        <w:t xml:space="preserve"> treatment, BC may arise as a consequence of exposure to ionizing radiation and pharmaceutical agents </w:t>
      </w:r>
      <w:r w:rsidRPr="00CC458A">
        <w:rPr>
          <w:rFonts w:asciiTheme="majorBidi" w:hAnsiTheme="majorBidi" w:cstheme="majorBidi"/>
          <w:b/>
          <w:bCs/>
          <w:i/>
          <w:iCs/>
          <w:sz w:val="28"/>
          <w:szCs w:val="28"/>
        </w:rPr>
        <w:t>(Burger et al., 2013)</w:t>
      </w:r>
      <w:r w:rsidRPr="00CC458A">
        <w:rPr>
          <w:rFonts w:asciiTheme="majorBidi" w:hAnsiTheme="majorBidi" w:cstheme="majorBidi"/>
          <w:sz w:val="28"/>
          <w:szCs w:val="28"/>
        </w:rPr>
        <w:t xml:space="preserve">. </w:t>
      </w:r>
      <w:r w:rsidRPr="00CC458A">
        <w:rPr>
          <w:rFonts w:asciiTheme="majorBidi" w:hAnsiTheme="majorBidi" w:cstheme="majorBidi"/>
          <w:b/>
          <w:bCs/>
          <w:i/>
          <w:iCs/>
          <w:sz w:val="28"/>
          <w:szCs w:val="28"/>
        </w:rPr>
        <w:t xml:space="preserve">Abern et al. (2013) </w:t>
      </w:r>
      <w:r w:rsidRPr="00CC458A">
        <w:rPr>
          <w:rFonts w:asciiTheme="majorBidi" w:hAnsiTheme="majorBidi" w:cstheme="majorBidi"/>
          <w:sz w:val="28"/>
          <w:szCs w:val="28"/>
        </w:rPr>
        <w:t>found an increased age-standardized incidence rate of BC following external-beam radiotherapy for prostate cancer.</w:t>
      </w:r>
    </w:p>
    <w:p w14:paraId="2B112B51" w14:textId="77777777" w:rsidR="00CC458A" w:rsidRPr="00CC458A" w:rsidRDefault="00CC458A" w:rsidP="00CC458A">
      <w:pPr>
        <w:autoSpaceDE w:val="0"/>
        <w:autoSpaceDN w:val="0"/>
        <w:adjustRightInd w:val="0"/>
        <w:spacing w:before="120" w:after="120"/>
        <w:rPr>
          <w:rFonts w:asciiTheme="majorBidi" w:hAnsiTheme="majorBidi" w:cstheme="majorBidi"/>
          <w:sz w:val="28"/>
          <w:szCs w:val="28"/>
        </w:rPr>
      </w:pPr>
      <w:r w:rsidRPr="00CC458A">
        <w:rPr>
          <w:rFonts w:asciiTheme="majorBidi" w:hAnsiTheme="majorBidi" w:cstheme="majorBidi"/>
          <w:sz w:val="28"/>
          <w:szCs w:val="28"/>
        </w:rPr>
        <w:t xml:space="preserve">Two pharmacologic agents have also been related to BC; cyclophosphamide is an alkylating agent mainly applied in lymphoma and leukemia, and a long-term use increases BC incidence </w:t>
      </w:r>
      <w:r w:rsidRPr="00CC458A">
        <w:rPr>
          <w:rFonts w:asciiTheme="majorBidi" w:hAnsiTheme="majorBidi" w:cstheme="majorBidi"/>
          <w:b/>
          <w:bCs/>
          <w:i/>
          <w:iCs/>
          <w:sz w:val="28"/>
          <w:szCs w:val="28"/>
        </w:rPr>
        <w:t>(Burger et al., 2013)</w:t>
      </w:r>
      <w:r w:rsidRPr="00CC458A">
        <w:rPr>
          <w:rFonts w:asciiTheme="majorBidi" w:hAnsiTheme="majorBidi" w:cstheme="majorBidi"/>
          <w:sz w:val="28"/>
          <w:szCs w:val="28"/>
        </w:rPr>
        <w:t xml:space="preserve">. Pioglitazone, an antidiabetic drug of the thiazolidinedione class, has been found to have a weak relation to BC incidence with longer-term use </w:t>
      </w:r>
      <w:r w:rsidRPr="00CC458A">
        <w:rPr>
          <w:rFonts w:asciiTheme="majorBidi" w:hAnsiTheme="majorBidi" w:cstheme="majorBidi"/>
          <w:b/>
          <w:bCs/>
          <w:i/>
          <w:iCs/>
          <w:sz w:val="28"/>
          <w:szCs w:val="28"/>
        </w:rPr>
        <w:t>(MacKenzie et al., 2011)</w:t>
      </w:r>
      <w:r w:rsidRPr="00CC458A">
        <w:rPr>
          <w:rFonts w:asciiTheme="majorBidi" w:hAnsiTheme="majorBidi" w:cstheme="majorBidi"/>
          <w:sz w:val="28"/>
          <w:szCs w:val="28"/>
        </w:rPr>
        <w:t>.</w:t>
      </w:r>
    </w:p>
    <w:p w14:paraId="4CB79AEA" w14:textId="77777777" w:rsidR="00CC458A" w:rsidRDefault="00CC458A" w:rsidP="00CC458A">
      <w:pPr>
        <w:spacing w:before="120" w:after="120"/>
        <w:rPr>
          <w:rFonts w:asciiTheme="majorBidi" w:hAnsiTheme="majorBidi" w:cstheme="majorBidi"/>
          <w:sz w:val="28"/>
          <w:szCs w:val="28"/>
        </w:rPr>
      </w:pPr>
      <w:r w:rsidRPr="00CC458A">
        <w:rPr>
          <w:rFonts w:asciiTheme="majorBidi" w:hAnsiTheme="majorBidi" w:cstheme="majorBidi"/>
          <w:sz w:val="28"/>
          <w:szCs w:val="28"/>
        </w:rPr>
        <w:t xml:space="preserve">For diabetes mellitus, an increased BC incidence has been reported, which was greater with longer duration and use of oral hypoglycemic medication </w:t>
      </w:r>
      <w:r w:rsidRPr="00CC458A">
        <w:rPr>
          <w:rFonts w:asciiTheme="majorBidi" w:hAnsiTheme="majorBidi" w:cstheme="majorBidi"/>
          <w:b/>
          <w:bCs/>
          <w:i/>
          <w:iCs/>
          <w:sz w:val="28"/>
          <w:szCs w:val="28"/>
        </w:rPr>
        <w:t>(Lewis et al., 2011)</w:t>
      </w:r>
      <w:r w:rsidRPr="00CC458A">
        <w:rPr>
          <w:rFonts w:asciiTheme="majorBidi" w:hAnsiTheme="majorBidi" w:cstheme="majorBidi"/>
          <w:sz w:val="28"/>
          <w:szCs w:val="28"/>
        </w:rPr>
        <w:t>.</w:t>
      </w:r>
    </w:p>
    <w:p w14:paraId="3ABEF0B4" w14:textId="77777777" w:rsidR="00C226F7" w:rsidRPr="00C226F7" w:rsidRDefault="00C226F7" w:rsidP="00C226F7">
      <w:pPr>
        <w:autoSpaceDE w:val="0"/>
        <w:autoSpaceDN w:val="0"/>
        <w:adjustRightInd w:val="0"/>
        <w:ind w:firstLine="0"/>
        <w:rPr>
          <w:rFonts w:asciiTheme="majorBidi" w:hAnsiTheme="majorBidi" w:cstheme="majorBidi"/>
          <w:b/>
          <w:bCs/>
          <w:sz w:val="32"/>
          <w:szCs w:val="32"/>
        </w:rPr>
      </w:pPr>
      <w:r w:rsidRPr="00C226F7">
        <w:rPr>
          <w:rFonts w:asciiTheme="majorBidi" w:hAnsiTheme="majorBidi" w:cstheme="majorBidi"/>
          <w:b/>
          <w:bCs/>
          <w:sz w:val="32"/>
          <w:szCs w:val="32"/>
        </w:rPr>
        <w:t>4. Dietary factors:</w:t>
      </w:r>
    </w:p>
    <w:p w14:paraId="4A25003B" w14:textId="77777777" w:rsidR="00C226F7" w:rsidRDefault="004A4EF7" w:rsidP="004A4EF7">
      <w:pPr>
        <w:autoSpaceDE w:val="0"/>
        <w:autoSpaceDN w:val="0"/>
        <w:adjustRightInd w:val="0"/>
        <w:rPr>
          <w:rFonts w:asciiTheme="majorBidi" w:hAnsiTheme="majorBidi" w:cstheme="majorBidi"/>
          <w:b/>
          <w:bCs/>
          <w:i/>
          <w:iCs/>
          <w:sz w:val="28"/>
          <w:szCs w:val="28"/>
        </w:rPr>
      </w:pPr>
      <w:r w:rsidRPr="004A4EF7">
        <w:rPr>
          <w:rFonts w:asciiTheme="majorBidi" w:hAnsiTheme="majorBidi" w:cstheme="majorBidi"/>
          <w:sz w:val="28"/>
          <w:szCs w:val="28"/>
        </w:rPr>
        <w:t>Lack of adequate fluid intake, especially water, increases the risk of BC. Bladder vacancy seems to cause chemical accumulation due to delay in the removal of bladder waste, leading to increased risk of BC</w:t>
      </w:r>
      <w:r>
        <w:t xml:space="preserve"> </w:t>
      </w:r>
      <w:r w:rsidRPr="004A4EF7">
        <w:rPr>
          <w:rFonts w:asciiTheme="majorBidi" w:hAnsiTheme="majorBidi" w:cstheme="majorBidi"/>
          <w:b/>
          <w:bCs/>
          <w:i/>
          <w:iCs/>
          <w:sz w:val="28"/>
          <w:szCs w:val="28"/>
        </w:rPr>
        <w:t>(Ros et al., 2011)</w:t>
      </w:r>
      <w:r>
        <w:rPr>
          <w:rFonts w:asciiTheme="majorBidi" w:hAnsiTheme="majorBidi" w:cstheme="majorBidi"/>
          <w:b/>
          <w:bCs/>
          <w:i/>
          <w:iCs/>
          <w:sz w:val="28"/>
          <w:szCs w:val="28"/>
        </w:rPr>
        <w:t>.</w:t>
      </w:r>
    </w:p>
    <w:p w14:paraId="0886C548" w14:textId="2F9A04FC" w:rsidR="004A4EF7" w:rsidRPr="004A4EF7" w:rsidRDefault="004A4EF7" w:rsidP="004A4EF7">
      <w:pPr>
        <w:autoSpaceDE w:val="0"/>
        <w:autoSpaceDN w:val="0"/>
        <w:adjustRightInd w:val="0"/>
        <w:rPr>
          <w:rFonts w:asciiTheme="majorBidi" w:hAnsiTheme="majorBidi" w:cstheme="majorBidi"/>
          <w:sz w:val="28"/>
          <w:szCs w:val="28"/>
        </w:rPr>
      </w:pPr>
      <w:r w:rsidRPr="004A4EF7">
        <w:rPr>
          <w:rFonts w:asciiTheme="majorBidi" w:hAnsiTheme="majorBidi" w:cstheme="majorBidi"/>
          <w:sz w:val="28"/>
          <w:szCs w:val="28"/>
        </w:rPr>
        <w:t xml:space="preserve">Vitamin D is one of the complementary ingredients which may reduce cancer incidence. The risk of BC in subjects receiving vitamin D and those exposed to </w:t>
      </w:r>
      <w:bookmarkStart w:id="8" w:name="_Hlk71752246"/>
      <w:r w:rsidRPr="004A4EF7">
        <w:rPr>
          <w:rFonts w:asciiTheme="majorBidi" w:hAnsiTheme="majorBidi" w:cstheme="majorBidi"/>
          <w:sz w:val="28"/>
          <w:szCs w:val="28"/>
        </w:rPr>
        <w:t xml:space="preserve">ultraviolet </w:t>
      </w:r>
      <w:bookmarkEnd w:id="8"/>
      <w:r w:rsidRPr="004A4EF7">
        <w:rPr>
          <w:rFonts w:asciiTheme="majorBidi" w:hAnsiTheme="majorBidi" w:cstheme="majorBidi"/>
          <w:sz w:val="28"/>
          <w:szCs w:val="28"/>
        </w:rPr>
        <w:t xml:space="preserve">was significantly lower than in control group </w:t>
      </w:r>
      <w:r w:rsidRPr="004A4EF7">
        <w:rPr>
          <w:rFonts w:asciiTheme="majorBidi" w:hAnsiTheme="majorBidi" w:cstheme="majorBidi"/>
          <w:b/>
          <w:bCs/>
          <w:i/>
          <w:iCs/>
          <w:sz w:val="28"/>
          <w:szCs w:val="28"/>
        </w:rPr>
        <w:t>(Brinkman et al., 2010).</w:t>
      </w:r>
    </w:p>
    <w:p w14:paraId="1D20DBA5" w14:textId="1E20D462" w:rsidR="004A4EF7" w:rsidRDefault="00C226F7" w:rsidP="00FA503B">
      <w:pPr>
        <w:autoSpaceDE w:val="0"/>
        <w:autoSpaceDN w:val="0"/>
        <w:adjustRightInd w:val="0"/>
        <w:rPr>
          <w:rFonts w:asciiTheme="majorBidi" w:hAnsiTheme="majorBidi" w:cstheme="majorBidi"/>
          <w:sz w:val="28"/>
          <w:szCs w:val="28"/>
        </w:rPr>
      </w:pPr>
      <w:r w:rsidRPr="00C226F7">
        <w:rPr>
          <w:rFonts w:asciiTheme="majorBidi" w:hAnsiTheme="majorBidi" w:cstheme="majorBidi"/>
          <w:sz w:val="28"/>
          <w:szCs w:val="28"/>
        </w:rPr>
        <w:t xml:space="preserve">Although it has been suggested that coffee consumption and artificial sweeteners may be associated with an increased risk of bladder cancer, results from epidemiologic studies investigating these agents have been inconclusive </w:t>
      </w:r>
      <w:r w:rsidRPr="00C226F7">
        <w:rPr>
          <w:rFonts w:asciiTheme="majorBidi" w:hAnsiTheme="majorBidi" w:cstheme="majorBidi"/>
          <w:b/>
          <w:bCs/>
          <w:i/>
          <w:iCs/>
          <w:sz w:val="28"/>
          <w:szCs w:val="28"/>
        </w:rPr>
        <w:lastRenderedPageBreak/>
        <w:t>(Colombel et al., 2008)</w:t>
      </w:r>
      <w:r w:rsidRPr="00C226F7">
        <w:rPr>
          <w:rFonts w:asciiTheme="majorBidi" w:hAnsiTheme="majorBidi" w:cstheme="majorBidi"/>
          <w:sz w:val="28"/>
          <w:szCs w:val="28"/>
        </w:rPr>
        <w:t xml:space="preserve">. A major problem in evaluating the independent effect of coffee consumption on the development of bladder cancer is its relationship to cigarette smoking </w:t>
      </w:r>
      <w:r w:rsidRPr="00C226F7">
        <w:rPr>
          <w:rFonts w:asciiTheme="majorBidi" w:hAnsiTheme="majorBidi" w:cstheme="majorBidi"/>
          <w:b/>
          <w:bCs/>
          <w:i/>
          <w:iCs/>
          <w:sz w:val="28"/>
          <w:szCs w:val="28"/>
        </w:rPr>
        <w:t>(Murta-Nascimento et al., 2007)</w:t>
      </w:r>
      <w:r w:rsidRPr="00C226F7">
        <w:rPr>
          <w:rFonts w:asciiTheme="majorBidi" w:hAnsiTheme="majorBidi" w:cstheme="majorBidi"/>
          <w:sz w:val="28"/>
          <w:szCs w:val="28"/>
        </w:rPr>
        <w:t>.</w:t>
      </w:r>
    </w:p>
    <w:p w14:paraId="6C8082F3" w14:textId="77777777" w:rsidR="00FA503B" w:rsidRPr="00FA503B" w:rsidRDefault="00FA503B" w:rsidP="00FA503B">
      <w:pPr>
        <w:autoSpaceDE w:val="0"/>
        <w:autoSpaceDN w:val="0"/>
        <w:adjustRightInd w:val="0"/>
        <w:rPr>
          <w:rFonts w:asciiTheme="majorBidi" w:hAnsiTheme="majorBidi" w:cstheme="majorBidi"/>
          <w:sz w:val="10"/>
          <w:szCs w:val="10"/>
        </w:rPr>
      </w:pPr>
    </w:p>
    <w:p w14:paraId="1097081C" w14:textId="77777777" w:rsidR="00C226F7" w:rsidRPr="00C226F7" w:rsidRDefault="00C226F7" w:rsidP="00C226F7">
      <w:pPr>
        <w:autoSpaceDE w:val="0"/>
        <w:autoSpaceDN w:val="0"/>
        <w:adjustRightInd w:val="0"/>
        <w:ind w:firstLine="0"/>
        <w:rPr>
          <w:rFonts w:asciiTheme="majorBidi" w:hAnsiTheme="majorBidi" w:cstheme="majorBidi"/>
          <w:b/>
          <w:bCs/>
          <w:sz w:val="32"/>
          <w:szCs w:val="32"/>
        </w:rPr>
      </w:pPr>
      <w:r w:rsidRPr="00C226F7">
        <w:rPr>
          <w:rFonts w:asciiTheme="majorBidi" w:hAnsiTheme="majorBidi" w:cstheme="majorBidi"/>
          <w:b/>
          <w:bCs/>
          <w:sz w:val="32"/>
          <w:szCs w:val="32"/>
        </w:rPr>
        <w:t>5. Genetic susceptibility:</w:t>
      </w:r>
    </w:p>
    <w:p w14:paraId="0D1ED25F" w14:textId="57500179" w:rsidR="00C226F7" w:rsidRDefault="00B6020E" w:rsidP="00B6020E">
      <w:pPr>
        <w:autoSpaceDE w:val="0"/>
        <w:autoSpaceDN w:val="0"/>
        <w:adjustRightInd w:val="0"/>
      </w:pPr>
      <w:r w:rsidRPr="00B6020E">
        <w:rPr>
          <w:rFonts w:asciiTheme="majorBidi" w:hAnsiTheme="majorBidi" w:cstheme="majorBidi"/>
          <w:sz w:val="28"/>
          <w:szCs w:val="28"/>
        </w:rPr>
        <w:t>People with family members having BC are at greater risk for BC since BC risk is twice as high in first degree relatives than in other</w:t>
      </w:r>
      <w:r w:rsidR="00C226F7" w:rsidRPr="00C226F7">
        <w:rPr>
          <w:rFonts w:asciiTheme="majorBidi" w:hAnsiTheme="majorBidi" w:cstheme="majorBidi"/>
          <w:sz w:val="28"/>
          <w:szCs w:val="28"/>
        </w:rPr>
        <w:t xml:space="preserve">. Inherited genetic factors, such as the genetic slow acetylator </w:t>
      </w:r>
      <w:bookmarkStart w:id="9" w:name="_Hlk71752289"/>
      <w:r w:rsidR="00C226F7" w:rsidRPr="00C226F7">
        <w:rPr>
          <w:rFonts w:asciiTheme="majorBidi" w:hAnsiTheme="majorBidi" w:cstheme="majorBidi"/>
          <w:sz w:val="28"/>
          <w:szCs w:val="28"/>
        </w:rPr>
        <w:t>N-acetyltransferase 2 (NAT2</w:t>
      </w:r>
      <w:bookmarkEnd w:id="9"/>
      <w:r w:rsidR="00C226F7" w:rsidRPr="00C226F7">
        <w:rPr>
          <w:rFonts w:asciiTheme="majorBidi" w:hAnsiTheme="majorBidi" w:cstheme="majorBidi"/>
          <w:sz w:val="28"/>
          <w:szCs w:val="28"/>
        </w:rPr>
        <w:t xml:space="preserve">) variants </w:t>
      </w:r>
      <w:r w:rsidRPr="00B6020E">
        <w:rPr>
          <w:rFonts w:asciiTheme="majorBidi" w:hAnsiTheme="majorBidi" w:cstheme="majorBidi"/>
          <w:sz w:val="28"/>
          <w:szCs w:val="28"/>
        </w:rPr>
        <w:t>make it difficult to decompose some of the toxins in the body and thus lead to BC</w:t>
      </w:r>
      <w:r w:rsidR="00C226F7" w:rsidRPr="00C226F7">
        <w:rPr>
          <w:rFonts w:asciiTheme="majorBidi" w:hAnsiTheme="majorBidi" w:cstheme="majorBidi"/>
          <w:sz w:val="28"/>
          <w:szCs w:val="28"/>
        </w:rPr>
        <w:t xml:space="preserve">. However, factors such as slow acetylation may not intrinsically lead to BC but may confer additional risk to exposure of carcinogens such as tobacco products </w:t>
      </w:r>
      <w:r w:rsidR="00C226F7" w:rsidRPr="00C226F7">
        <w:rPr>
          <w:rFonts w:asciiTheme="majorBidi" w:hAnsiTheme="majorBidi" w:cstheme="majorBidi"/>
          <w:b/>
          <w:bCs/>
          <w:i/>
          <w:iCs/>
          <w:sz w:val="28"/>
          <w:szCs w:val="28"/>
        </w:rPr>
        <w:t>(Burger et al., 2013)</w:t>
      </w:r>
      <w:r w:rsidR="00C226F7" w:rsidRPr="00C226F7">
        <w:rPr>
          <w:rFonts w:asciiTheme="majorBidi" w:hAnsiTheme="majorBidi" w:cstheme="majorBidi"/>
          <w:sz w:val="28"/>
          <w:szCs w:val="28"/>
        </w:rPr>
        <w:t>.</w:t>
      </w:r>
      <w:r w:rsidRPr="00B6020E">
        <w:t xml:space="preserve"> </w:t>
      </w:r>
    </w:p>
    <w:p w14:paraId="727942D4" w14:textId="77777777" w:rsidR="00B6020E" w:rsidRPr="00FA503B" w:rsidRDefault="00B6020E" w:rsidP="00B6020E">
      <w:pPr>
        <w:autoSpaceDE w:val="0"/>
        <w:autoSpaceDN w:val="0"/>
        <w:adjustRightInd w:val="0"/>
        <w:rPr>
          <w:sz w:val="10"/>
          <w:szCs w:val="10"/>
        </w:rPr>
      </w:pPr>
    </w:p>
    <w:p w14:paraId="3105A153" w14:textId="77777777" w:rsidR="00B6020E" w:rsidRDefault="00B6020E" w:rsidP="00B6020E">
      <w:pPr>
        <w:autoSpaceDE w:val="0"/>
        <w:autoSpaceDN w:val="0"/>
        <w:adjustRightInd w:val="0"/>
        <w:ind w:firstLine="0"/>
        <w:rPr>
          <w:rFonts w:asciiTheme="majorBidi" w:hAnsiTheme="majorBidi" w:cstheme="majorBidi"/>
          <w:b/>
          <w:bCs/>
          <w:sz w:val="32"/>
          <w:szCs w:val="32"/>
        </w:rPr>
      </w:pPr>
      <w:r w:rsidRPr="00B6020E">
        <w:rPr>
          <w:rFonts w:asciiTheme="majorBidi" w:hAnsiTheme="majorBidi" w:cstheme="majorBidi"/>
          <w:b/>
          <w:bCs/>
          <w:sz w:val="32"/>
          <w:szCs w:val="32"/>
        </w:rPr>
        <w:t>6. Age, sex, ethnicity, race, and socio-economic status:</w:t>
      </w:r>
    </w:p>
    <w:p w14:paraId="400AAC9E" w14:textId="3B14AD0B" w:rsidR="00B6020E" w:rsidRDefault="00B6020E" w:rsidP="00B6020E">
      <w:pPr>
        <w:autoSpaceDE w:val="0"/>
        <w:autoSpaceDN w:val="0"/>
        <w:adjustRightInd w:val="0"/>
        <w:spacing w:before="120" w:after="120"/>
        <w:rPr>
          <w:rFonts w:asciiTheme="majorBidi" w:hAnsiTheme="majorBidi" w:cstheme="majorBidi"/>
          <w:b/>
          <w:bCs/>
          <w:i/>
          <w:iCs/>
          <w:sz w:val="28"/>
          <w:szCs w:val="28"/>
        </w:rPr>
      </w:pPr>
      <w:r w:rsidRPr="00B6020E">
        <w:rPr>
          <w:rFonts w:asciiTheme="majorBidi" w:hAnsiTheme="majorBidi" w:cstheme="majorBidi"/>
          <w:sz w:val="28"/>
          <w:szCs w:val="28"/>
        </w:rPr>
        <w:t xml:space="preserve">BC risk increases in the elderly; in fact, 90% of BC cases occur in people over the age of 55 while the average age for BC diagnosis is 73 </w:t>
      </w:r>
      <w:r w:rsidRPr="00B6020E">
        <w:rPr>
          <w:rFonts w:asciiTheme="majorBidi" w:hAnsiTheme="majorBidi" w:cstheme="majorBidi"/>
          <w:b/>
          <w:bCs/>
          <w:i/>
          <w:iCs/>
          <w:sz w:val="28"/>
          <w:szCs w:val="28"/>
        </w:rPr>
        <w:t>(</w:t>
      </w:r>
      <w:r w:rsidR="003A5805" w:rsidRPr="003A5805">
        <w:rPr>
          <w:rFonts w:asciiTheme="majorBidi" w:hAnsiTheme="majorBidi" w:cstheme="majorBidi"/>
          <w:b/>
          <w:bCs/>
          <w:i/>
          <w:iCs/>
          <w:sz w:val="28"/>
          <w:szCs w:val="28"/>
        </w:rPr>
        <w:t>Erlich and Zlotta</w:t>
      </w:r>
      <w:r w:rsidRPr="00B6020E">
        <w:rPr>
          <w:rFonts w:asciiTheme="majorBidi" w:hAnsiTheme="majorBidi" w:cstheme="majorBidi"/>
          <w:b/>
          <w:bCs/>
          <w:i/>
          <w:iCs/>
          <w:sz w:val="28"/>
          <w:szCs w:val="28"/>
        </w:rPr>
        <w:t>, 201</w:t>
      </w:r>
      <w:r w:rsidR="003A5805">
        <w:rPr>
          <w:rFonts w:asciiTheme="majorBidi" w:hAnsiTheme="majorBidi" w:cstheme="majorBidi"/>
          <w:b/>
          <w:bCs/>
          <w:i/>
          <w:iCs/>
          <w:sz w:val="28"/>
          <w:szCs w:val="28"/>
        </w:rPr>
        <w:t>6</w:t>
      </w:r>
      <w:r w:rsidRPr="00B6020E">
        <w:rPr>
          <w:rFonts w:asciiTheme="majorBidi" w:hAnsiTheme="majorBidi" w:cstheme="majorBidi"/>
          <w:b/>
          <w:bCs/>
          <w:i/>
          <w:iCs/>
          <w:sz w:val="28"/>
          <w:szCs w:val="28"/>
        </w:rPr>
        <w:t>).</w:t>
      </w:r>
    </w:p>
    <w:p w14:paraId="748CFD77" w14:textId="77777777" w:rsidR="003B7612" w:rsidRDefault="003B7612" w:rsidP="00B6020E">
      <w:pPr>
        <w:autoSpaceDE w:val="0"/>
        <w:autoSpaceDN w:val="0"/>
        <w:adjustRightInd w:val="0"/>
        <w:spacing w:before="120" w:after="120"/>
        <w:rPr>
          <w:rFonts w:asciiTheme="majorBidi" w:hAnsiTheme="majorBidi" w:cstheme="majorBidi"/>
          <w:sz w:val="28"/>
          <w:szCs w:val="28"/>
        </w:rPr>
      </w:pPr>
      <w:r>
        <w:rPr>
          <w:rFonts w:asciiTheme="majorBidi" w:hAnsiTheme="majorBidi" w:cstheme="majorBidi"/>
          <w:sz w:val="28"/>
          <w:szCs w:val="28"/>
        </w:rPr>
        <w:t>T</w:t>
      </w:r>
      <w:r w:rsidRPr="003B7612">
        <w:rPr>
          <w:rFonts w:asciiTheme="majorBidi" w:hAnsiTheme="majorBidi" w:cstheme="majorBidi"/>
          <w:sz w:val="28"/>
          <w:szCs w:val="28"/>
        </w:rPr>
        <w:t xml:space="preserve">he incidence of BC in men is higher than in women; some studies have reported the incidence in men to be 4 times higher. However, mortality rates in women are higher than in men </w:t>
      </w:r>
      <w:r w:rsidRPr="003B7612">
        <w:rPr>
          <w:rFonts w:asciiTheme="majorBidi" w:hAnsiTheme="majorBidi" w:cstheme="majorBidi"/>
          <w:b/>
          <w:bCs/>
          <w:i/>
          <w:iCs/>
          <w:sz w:val="28"/>
          <w:szCs w:val="28"/>
        </w:rPr>
        <w:t>(Ranasinghe et al., 2012).</w:t>
      </w:r>
      <w:r w:rsidRPr="003B7612">
        <w:rPr>
          <w:rFonts w:asciiTheme="majorBidi" w:hAnsiTheme="majorBidi" w:cstheme="majorBidi"/>
          <w:sz w:val="28"/>
          <w:szCs w:val="28"/>
        </w:rPr>
        <w:t xml:space="preserve"> It seems that one main reason for the lower incidence of BC in women is the lower prevalence of smoking and lower occupational risk in women </w:t>
      </w:r>
      <w:r w:rsidRPr="003B7612">
        <w:rPr>
          <w:rFonts w:asciiTheme="majorBidi" w:hAnsiTheme="majorBidi" w:cstheme="majorBidi"/>
          <w:b/>
          <w:bCs/>
          <w:i/>
          <w:iCs/>
          <w:sz w:val="28"/>
          <w:szCs w:val="28"/>
        </w:rPr>
        <w:t>(Burger et al., 2013)</w:t>
      </w:r>
      <w:r>
        <w:rPr>
          <w:rFonts w:asciiTheme="majorBidi" w:hAnsiTheme="majorBidi" w:cstheme="majorBidi"/>
          <w:b/>
          <w:bCs/>
          <w:i/>
          <w:iCs/>
          <w:sz w:val="28"/>
          <w:szCs w:val="28"/>
        </w:rPr>
        <w:t xml:space="preserve">. </w:t>
      </w:r>
      <w:r w:rsidRPr="003B7612">
        <w:rPr>
          <w:rFonts w:asciiTheme="majorBidi" w:hAnsiTheme="majorBidi" w:cstheme="majorBidi"/>
          <w:sz w:val="28"/>
          <w:szCs w:val="28"/>
        </w:rPr>
        <w:t>The reasons for the higher mortality rate in women, however, remains unclear.</w:t>
      </w:r>
    </w:p>
    <w:p w14:paraId="5FE4B6CA" w14:textId="77777777" w:rsidR="003B7612" w:rsidRDefault="003B7612" w:rsidP="00B6020E">
      <w:pPr>
        <w:autoSpaceDE w:val="0"/>
        <w:autoSpaceDN w:val="0"/>
        <w:adjustRightInd w:val="0"/>
        <w:spacing w:before="120" w:after="120"/>
        <w:rPr>
          <w:rFonts w:asciiTheme="majorBidi" w:hAnsiTheme="majorBidi" w:cstheme="majorBidi"/>
          <w:b/>
          <w:bCs/>
          <w:i/>
          <w:iCs/>
          <w:sz w:val="28"/>
          <w:szCs w:val="28"/>
        </w:rPr>
      </w:pPr>
      <w:r w:rsidRPr="003B7612">
        <w:rPr>
          <w:rFonts w:asciiTheme="majorBidi" w:hAnsiTheme="majorBidi" w:cstheme="majorBidi"/>
          <w:sz w:val="28"/>
          <w:szCs w:val="28"/>
        </w:rPr>
        <w:t xml:space="preserve">The risk of BC is two times higher in Whites than in African Americans. In the United States, the age-standardized rates for African Americans are 13 per 100,000 and for Whites are 22 per 100,000 </w:t>
      </w:r>
      <w:r w:rsidRPr="003B7612">
        <w:rPr>
          <w:rFonts w:asciiTheme="majorBidi" w:hAnsiTheme="majorBidi" w:cstheme="majorBidi"/>
          <w:b/>
          <w:bCs/>
          <w:i/>
          <w:iCs/>
          <w:sz w:val="28"/>
          <w:szCs w:val="28"/>
        </w:rPr>
        <w:t>(Yee et al., 2011).</w:t>
      </w:r>
    </w:p>
    <w:p w14:paraId="64454743" w14:textId="1F511D87" w:rsidR="00B6020E" w:rsidRPr="00C226F7" w:rsidRDefault="004D15F4" w:rsidP="00C03CB5">
      <w:pPr>
        <w:autoSpaceDE w:val="0"/>
        <w:autoSpaceDN w:val="0"/>
        <w:adjustRightInd w:val="0"/>
        <w:spacing w:before="120" w:after="120"/>
        <w:rPr>
          <w:rFonts w:asciiTheme="majorBidi" w:hAnsiTheme="majorBidi" w:cstheme="majorBidi"/>
          <w:sz w:val="28"/>
          <w:szCs w:val="28"/>
        </w:rPr>
      </w:pPr>
      <w:r>
        <w:rPr>
          <w:rFonts w:asciiTheme="majorBidi" w:hAnsiTheme="majorBidi" w:cstheme="majorBidi"/>
          <w:sz w:val="28"/>
          <w:szCs w:val="28"/>
        </w:rPr>
        <w:t>T</w:t>
      </w:r>
      <w:r w:rsidR="003B7612" w:rsidRPr="003B7612">
        <w:rPr>
          <w:rFonts w:asciiTheme="majorBidi" w:hAnsiTheme="majorBidi" w:cstheme="majorBidi"/>
          <w:sz w:val="28"/>
          <w:szCs w:val="28"/>
        </w:rPr>
        <w:t xml:space="preserve">here is a relationship between low socio-economic status and the unsustainable survival of BC </w:t>
      </w:r>
      <w:r w:rsidR="003B7612" w:rsidRPr="003B7612">
        <w:rPr>
          <w:rFonts w:asciiTheme="majorBidi" w:hAnsiTheme="majorBidi" w:cstheme="majorBidi"/>
          <w:b/>
          <w:bCs/>
          <w:i/>
          <w:iCs/>
          <w:sz w:val="28"/>
          <w:szCs w:val="28"/>
        </w:rPr>
        <w:t>(Koroukian et al., 2010).</w:t>
      </w:r>
      <w:r w:rsidR="003B7612" w:rsidRPr="003B7612">
        <w:rPr>
          <w:rFonts w:asciiTheme="majorBidi" w:hAnsiTheme="majorBidi" w:cstheme="majorBidi"/>
          <w:sz w:val="28"/>
          <w:szCs w:val="28"/>
        </w:rPr>
        <w:t xml:space="preserve"> It seems that lack of access to healthcare and health services, as well as the increased risk of </w:t>
      </w:r>
      <w:r w:rsidR="003B7612" w:rsidRPr="003B7612">
        <w:rPr>
          <w:rFonts w:asciiTheme="majorBidi" w:hAnsiTheme="majorBidi" w:cstheme="majorBidi"/>
          <w:sz w:val="28"/>
          <w:szCs w:val="28"/>
        </w:rPr>
        <w:lastRenderedPageBreak/>
        <w:t>smoking in groups with a low socioeconomic status, account for the connection.</w:t>
      </w:r>
    </w:p>
    <w:p w14:paraId="50CBB40C" w14:textId="77777777" w:rsidR="00C226F7" w:rsidRDefault="00C226F7" w:rsidP="00C226F7">
      <w:pPr>
        <w:ind w:firstLine="0"/>
        <w:rPr>
          <w:rFonts w:asciiTheme="majorBidi" w:hAnsiTheme="majorBidi" w:cstheme="majorBidi"/>
          <w:b/>
          <w:bCs/>
          <w:sz w:val="36"/>
          <w:szCs w:val="36"/>
        </w:rPr>
      </w:pPr>
      <w:r w:rsidRPr="009A768B">
        <w:rPr>
          <w:rFonts w:asciiTheme="majorBidi" w:hAnsiTheme="majorBidi" w:cstheme="majorBidi"/>
          <w:b/>
          <w:bCs/>
          <w:sz w:val="36"/>
          <w:szCs w:val="36"/>
          <w:u w:val="single"/>
        </w:rPr>
        <w:t>Pathology</w:t>
      </w:r>
      <w:r w:rsidRPr="00C226F7">
        <w:rPr>
          <w:rFonts w:asciiTheme="majorBidi" w:hAnsiTheme="majorBidi" w:cstheme="majorBidi"/>
          <w:b/>
          <w:bCs/>
          <w:sz w:val="36"/>
          <w:szCs w:val="36"/>
        </w:rPr>
        <w:t>:</w:t>
      </w:r>
    </w:p>
    <w:p w14:paraId="31C720FA" w14:textId="77777777" w:rsidR="00C226F7" w:rsidRDefault="00C226F7" w:rsidP="00C226F7">
      <w:pPr>
        <w:autoSpaceDE w:val="0"/>
        <w:autoSpaceDN w:val="0"/>
        <w:adjustRightInd w:val="0"/>
        <w:spacing w:line="240" w:lineRule="auto"/>
        <w:ind w:firstLine="0"/>
        <w:jc w:val="left"/>
        <w:rPr>
          <w:rFonts w:ascii="Times New Roman" w:hAnsi="Times New Roman" w:cs="Times New Roman"/>
          <w:sz w:val="32"/>
          <w:szCs w:val="32"/>
        </w:rPr>
      </w:pPr>
      <w:r>
        <w:rPr>
          <w:rFonts w:ascii="Times New Roman" w:hAnsi="Times New Roman" w:cs="Times New Roman"/>
          <w:b/>
          <w:bCs/>
          <w:sz w:val="32"/>
          <w:szCs w:val="32"/>
        </w:rPr>
        <w:t>1. Major pathologic subtypes</w:t>
      </w:r>
      <w:r>
        <w:rPr>
          <w:rFonts w:ascii="Times New Roman" w:hAnsi="Times New Roman" w:cs="Times New Roman"/>
          <w:sz w:val="32"/>
          <w:szCs w:val="32"/>
        </w:rPr>
        <w:t>:</w:t>
      </w:r>
    </w:p>
    <w:p w14:paraId="3F48F0E2" w14:textId="77777777" w:rsidR="00565B1C" w:rsidRDefault="00565B1C" w:rsidP="00C226F7">
      <w:pPr>
        <w:autoSpaceDE w:val="0"/>
        <w:autoSpaceDN w:val="0"/>
        <w:adjustRightInd w:val="0"/>
        <w:spacing w:line="240" w:lineRule="auto"/>
        <w:ind w:firstLine="0"/>
        <w:jc w:val="left"/>
        <w:rPr>
          <w:rFonts w:ascii="Times New Roman" w:hAnsi="Times New Roman" w:cs="Times New Roman"/>
          <w:sz w:val="32"/>
          <w:szCs w:val="32"/>
        </w:rPr>
      </w:pPr>
    </w:p>
    <w:p w14:paraId="6C4DF4AD" w14:textId="77777777" w:rsidR="00C226F7" w:rsidRDefault="00C226F7" w:rsidP="00C226F7">
      <w:pPr>
        <w:rPr>
          <w:rFonts w:ascii="Times New Roman" w:hAnsi="Times New Roman" w:cs="Times New Roman"/>
          <w:sz w:val="28"/>
          <w:szCs w:val="28"/>
        </w:rPr>
      </w:pPr>
      <w:r>
        <w:rPr>
          <w:rFonts w:ascii="Times New Roman" w:hAnsi="Times New Roman" w:cs="Times New Roman"/>
          <w:sz w:val="28"/>
          <w:szCs w:val="28"/>
        </w:rPr>
        <w:t xml:space="preserve">Transitional cell carcinoma (TCC) is the most common primary pathologic subtype of bladder cancer and is observed in &gt;90% of </w:t>
      </w:r>
      <w:r w:rsidR="00A81B9E">
        <w:rPr>
          <w:rFonts w:ascii="Times New Roman" w:hAnsi="Times New Roman" w:cs="Times New Roman"/>
          <w:sz w:val="28"/>
          <w:szCs w:val="28"/>
        </w:rPr>
        <w:t>tumor</w:t>
      </w:r>
      <w:r>
        <w:rPr>
          <w:rFonts w:ascii="Times New Roman" w:hAnsi="Times New Roman" w:cs="Times New Roman"/>
          <w:sz w:val="28"/>
          <w:szCs w:val="28"/>
        </w:rPr>
        <w:t xml:space="preserve">s. Squamous cell carcinoma and adenocarcinoma are less common and occur in approximately 5% and 1% of bladder cancers, respectively </w:t>
      </w:r>
      <w:r>
        <w:rPr>
          <w:rFonts w:ascii="Times New Roman" w:hAnsi="Times New Roman" w:cs="Times New Roman"/>
          <w:b/>
          <w:bCs/>
          <w:i/>
          <w:iCs/>
          <w:sz w:val="28"/>
          <w:szCs w:val="28"/>
        </w:rPr>
        <w:t>(Colombel et al., 2008)</w:t>
      </w:r>
      <w:r>
        <w:rPr>
          <w:rFonts w:ascii="Times New Roman" w:hAnsi="Times New Roman" w:cs="Times New Roman"/>
          <w:sz w:val="28"/>
          <w:szCs w:val="28"/>
        </w:rPr>
        <w:t>.</w:t>
      </w:r>
    </w:p>
    <w:p w14:paraId="05B0843E" w14:textId="149A4950" w:rsidR="00565B1C" w:rsidRDefault="00565B1C" w:rsidP="00565B1C">
      <w:pPr>
        <w:pStyle w:val="ListParagraph"/>
        <w:spacing w:before="240" w:after="240" w:line="360" w:lineRule="auto"/>
        <w:ind w:left="0" w:firstLine="720"/>
        <w:jc w:val="both"/>
        <w:rPr>
          <w:rFonts w:asciiTheme="majorBidi" w:hAnsiTheme="majorBidi" w:cstheme="majorBidi"/>
          <w:color w:val="000000"/>
          <w:sz w:val="28"/>
          <w:szCs w:val="32"/>
        </w:rPr>
      </w:pPr>
      <w:r w:rsidRPr="00BD2DAA">
        <w:rPr>
          <w:rFonts w:asciiTheme="majorBidi" w:hAnsiTheme="majorBidi" w:cstheme="majorBidi"/>
          <w:color w:val="000000"/>
          <w:sz w:val="28"/>
          <w:szCs w:val="32"/>
        </w:rPr>
        <w:t>The predominant types include urothelial carcinoma</w:t>
      </w:r>
      <w:r w:rsidR="00F27BE6">
        <w:rPr>
          <w:rFonts w:asciiTheme="majorBidi" w:hAnsiTheme="majorBidi" w:cstheme="majorBidi"/>
          <w:color w:val="000000"/>
          <w:sz w:val="28"/>
          <w:szCs w:val="32"/>
        </w:rPr>
        <w:t xml:space="preserve">, </w:t>
      </w:r>
      <w:r w:rsidRPr="00BD2DAA">
        <w:rPr>
          <w:rFonts w:asciiTheme="majorBidi" w:hAnsiTheme="majorBidi" w:cstheme="majorBidi"/>
          <w:color w:val="000000"/>
          <w:sz w:val="28"/>
          <w:szCs w:val="32"/>
        </w:rPr>
        <w:t xml:space="preserve">formerly known as </w:t>
      </w:r>
      <w:bookmarkStart w:id="10" w:name="_Hlk71752364"/>
      <w:r w:rsidRPr="00BD2DAA">
        <w:rPr>
          <w:rFonts w:asciiTheme="majorBidi" w:hAnsiTheme="majorBidi" w:cstheme="majorBidi"/>
          <w:color w:val="000000"/>
          <w:sz w:val="28"/>
          <w:szCs w:val="32"/>
        </w:rPr>
        <w:t>transitional cell carcinoma</w:t>
      </w:r>
      <w:bookmarkEnd w:id="10"/>
      <w:r w:rsidRPr="00BD2DAA">
        <w:rPr>
          <w:rFonts w:asciiTheme="majorBidi" w:hAnsiTheme="majorBidi" w:cstheme="majorBidi"/>
          <w:color w:val="000000"/>
          <w:sz w:val="28"/>
          <w:szCs w:val="32"/>
        </w:rPr>
        <w:t xml:space="preserve">, which develops in the innermost cells, and </w:t>
      </w:r>
      <w:bookmarkStart w:id="11" w:name="_Hlk71752386"/>
      <w:r w:rsidRPr="00BD2DAA">
        <w:rPr>
          <w:rFonts w:asciiTheme="majorBidi" w:hAnsiTheme="majorBidi" w:cstheme="majorBidi"/>
          <w:color w:val="000000"/>
          <w:sz w:val="28"/>
          <w:szCs w:val="32"/>
        </w:rPr>
        <w:t>squamous cell carcinoma (SCC</w:t>
      </w:r>
      <w:bookmarkEnd w:id="11"/>
      <w:r w:rsidRPr="00BD2DAA">
        <w:rPr>
          <w:rFonts w:asciiTheme="majorBidi" w:hAnsiTheme="majorBidi" w:cstheme="majorBidi"/>
          <w:color w:val="000000"/>
          <w:sz w:val="28"/>
          <w:szCs w:val="32"/>
        </w:rPr>
        <w:t xml:space="preserve">), which occurs in thin, flat cells forming after long-term infection or irritation. </w:t>
      </w:r>
    </w:p>
    <w:p w14:paraId="5FCDE782" w14:textId="77777777" w:rsidR="00565B1C" w:rsidRDefault="00565B1C" w:rsidP="00565B1C">
      <w:pPr>
        <w:pStyle w:val="ListParagraph"/>
        <w:spacing w:before="240" w:after="240" w:line="360" w:lineRule="auto"/>
        <w:ind w:left="0" w:firstLine="720"/>
        <w:jc w:val="both"/>
        <w:rPr>
          <w:rFonts w:asciiTheme="majorBidi" w:hAnsiTheme="majorBidi" w:cstheme="majorBidi"/>
          <w:color w:val="000000"/>
          <w:sz w:val="28"/>
          <w:szCs w:val="32"/>
        </w:rPr>
      </w:pPr>
      <w:r w:rsidRPr="00BD2DAA">
        <w:rPr>
          <w:rFonts w:asciiTheme="majorBidi" w:hAnsiTheme="majorBidi" w:cstheme="majorBidi"/>
          <w:color w:val="000000"/>
          <w:sz w:val="28"/>
          <w:szCs w:val="32"/>
        </w:rPr>
        <w:t xml:space="preserve">UC </w:t>
      </w:r>
      <w:r>
        <w:rPr>
          <w:rFonts w:asciiTheme="majorBidi" w:hAnsiTheme="majorBidi" w:cstheme="majorBidi"/>
          <w:color w:val="000000"/>
          <w:sz w:val="28"/>
          <w:szCs w:val="32"/>
        </w:rPr>
        <w:t xml:space="preserve">is presented in </w:t>
      </w:r>
      <w:r w:rsidRPr="00BD2DAA">
        <w:rPr>
          <w:rFonts w:asciiTheme="majorBidi" w:hAnsiTheme="majorBidi" w:cstheme="majorBidi"/>
          <w:color w:val="000000"/>
          <w:sz w:val="28"/>
          <w:szCs w:val="32"/>
        </w:rPr>
        <w:t xml:space="preserve">male </w:t>
      </w:r>
      <w:r>
        <w:rPr>
          <w:rFonts w:asciiTheme="majorBidi" w:hAnsiTheme="majorBidi" w:cstheme="majorBidi"/>
          <w:color w:val="000000"/>
          <w:sz w:val="28"/>
          <w:szCs w:val="32"/>
        </w:rPr>
        <w:t xml:space="preserve">more </w:t>
      </w:r>
      <w:r w:rsidRPr="00BD2DAA">
        <w:rPr>
          <w:rFonts w:asciiTheme="majorBidi" w:hAnsiTheme="majorBidi" w:cstheme="majorBidi"/>
          <w:color w:val="000000"/>
          <w:sz w:val="28"/>
          <w:szCs w:val="32"/>
        </w:rPr>
        <w:t xml:space="preserve">than female cases and </w:t>
      </w:r>
      <w:r>
        <w:rPr>
          <w:rFonts w:asciiTheme="majorBidi" w:hAnsiTheme="majorBidi" w:cstheme="majorBidi"/>
          <w:color w:val="000000"/>
          <w:sz w:val="28"/>
          <w:szCs w:val="32"/>
        </w:rPr>
        <w:t>o</w:t>
      </w:r>
      <w:r w:rsidRPr="00F94CFB">
        <w:rPr>
          <w:rFonts w:asciiTheme="majorBidi" w:hAnsiTheme="majorBidi" w:cstheme="majorBidi"/>
          <w:color w:val="000000"/>
          <w:sz w:val="28"/>
          <w:szCs w:val="32"/>
        </w:rPr>
        <w:t>ccurs at older ages (≥60 y) than SCC</w:t>
      </w:r>
      <w:r>
        <w:rPr>
          <w:rFonts w:asciiTheme="majorBidi" w:hAnsiTheme="majorBidi" w:cstheme="majorBidi"/>
          <w:color w:val="000000"/>
          <w:sz w:val="28"/>
          <w:szCs w:val="32"/>
        </w:rPr>
        <w:t xml:space="preserve">. It accounts for more than </w:t>
      </w:r>
      <w:r w:rsidRPr="00BD2DAA">
        <w:rPr>
          <w:rFonts w:asciiTheme="majorBidi" w:hAnsiTheme="majorBidi" w:cstheme="majorBidi"/>
          <w:color w:val="000000"/>
          <w:sz w:val="28"/>
          <w:szCs w:val="32"/>
        </w:rPr>
        <w:t>90% of bladder malignancies in industrialized countries but for &lt;80% of cases in Southeast Asia a</w:t>
      </w:r>
      <w:r>
        <w:rPr>
          <w:rFonts w:asciiTheme="majorBidi" w:hAnsiTheme="majorBidi" w:cstheme="majorBidi"/>
          <w:color w:val="000000"/>
          <w:sz w:val="28"/>
          <w:szCs w:val="32"/>
        </w:rPr>
        <w:t xml:space="preserve">nd &lt;50% in some areas of Africa. </w:t>
      </w:r>
      <w:r w:rsidRPr="00BD2DAA">
        <w:rPr>
          <w:rFonts w:asciiTheme="majorBidi" w:hAnsiTheme="majorBidi" w:cstheme="majorBidi"/>
          <w:color w:val="000000"/>
          <w:sz w:val="28"/>
          <w:szCs w:val="32"/>
        </w:rPr>
        <w:t>SCC constitutes up to 75% of cases in some Middle Eastern and African countries</w:t>
      </w:r>
      <w:r>
        <w:rPr>
          <w:rFonts w:asciiTheme="majorBidi" w:hAnsiTheme="majorBidi" w:cstheme="majorBidi"/>
          <w:color w:val="000000"/>
          <w:sz w:val="28"/>
          <w:szCs w:val="32"/>
        </w:rPr>
        <w:t xml:space="preserve"> </w:t>
      </w:r>
      <w:r w:rsidRPr="00BD2DAA">
        <w:rPr>
          <w:rFonts w:asciiTheme="majorBidi" w:hAnsiTheme="majorBidi" w:cstheme="majorBidi"/>
          <w:b/>
          <w:bCs/>
          <w:i/>
          <w:iCs/>
          <w:color w:val="000000"/>
          <w:sz w:val="28"/>
          <w:szCs w:val="32"/>
        </w:rPr>
        <w:t>(Felix et al., 2008).</w:t>
      </w:r>
    </w:p>
    <w:p w14:paraId="79374DC6" w14:textId="3C7FB8C5" w:rsidR="00565B1C" w:rsidRPr="00565B1C" w:rsidRDefault="00565B1C" w:rsidP="00565B1C">
      <w:pPr>
        <w:pStyle w:val="ListParagraph"/>
        <w:spacing w:before="240" w:after="240" w:line="360" w:lineRule="auto"/>
        <w:ind w:left="0" w:firstLine="720"/>
        <w:jc w:val="both"/>
        <w:rPr>
          <w:rFonts w:asciiTheme="majorBidi" w:hAnsiTheme="majorBidi" w:cstheme="majorBidi"/>
          <w:color w:val="000000"/>
          <w:sz w:val="28"/>
          <w:szCs w:val="32"/>
        </w:rPr>
      </w:pPr>
      <w:r w:rsidRPr="00BD2DAA">
        <w:rPr>
          <w:rFonts w:asciiTheme="majorBidi" w:hAnsiTheme="majorBidi" w:cstheme="majorBidi"/>
          <w:color w:val="000000"/>
          <w:sz w:val="28"/>
          <w:szCs w:val="32"/>
        </w:rPr>
        <w:t>At the time of diagnosis, approximately 75 % of the patients present with non-muscle-invasive bladder cancer (NMIBC), which is defined as disease confined to the mucosa (stage Ta and CIS) or submucosa (stage T1). Although these three types of lesions indeed are non-</w:t>
      </w:r>
      <w:proofErr w:type="gramStart"/>
      <w:r w:rsidRPr="00BD2DAA">
        <w:rPr>
          <w:rFonts w:asciiTheme="majorBidi" w:hAnsiTheme="majorBidi" w:cstheme="majorBidi"/>
          <w:color w:val="000000"/>
          <w:sz w:val="28"/>
          <w:szCs w:val="32"/>
        </w:rPr>
        <w:t>muscle-invasive</w:t>
      </w:r>
      <w:proofErr w:type="gramEnd"/>
      <w:r w:rsidRPr="00BD2DAA">
        <w:rPr>
          <w:rFonts w:asciiTheme="majorBidi" w:hAnsiTheme="majorBidi" w:cstheme="majorBidi"/>
          <w:color w:val="000000"/>
          <w:sz w:val="28"/>
          <w:szCs w:val="32"/>
        </w:rPr>
        <w:t>, T1 and CIS lesions are distinct from Ta lesions since they have a high potential to become invasive (≈50 % of CIS lesions progress if left untreated)</w:t>
      </w:r>
      <w:r>
        <w:rPr>
          <w:rFonts w:asciiTheme="majorBidi" w:hAnsiTheme="majorBidi" w:cstheme="majorBidi"/>
          <w:color w:val="000000"/>
          <w:sz w:val="28"/>
          <w:szCs w:val="32"/>
        </w:rPr>
        <w:t>.</w:t>
      </w:r>
      <w:r w:rsidRPr="00BD2DAA">
        <w:rPr>
          <w:rFonts w:asciiTheme="majorBidi" w:hAnsiTheme="majorBidi" w:cstheme="majorBidi"/>
          <w:color w:val="000000"/>
          <w:sz w:val="28"/>
          <w:szCs w:val="32"/>
        </w:rPr>
        <w:t xml:space="preserve"> Thus, accurate histopathologic assessment and diagnosis is crucial for correct clinical management which differs drastically between </w:t>
      </w:r>
      <w:r>
        <w:rPr>
          <w:rFonts w:asciiTheme="majorBidi" w:hAnsiTheme="majorBidi" w:cstheme="majorBidi"/>
          <w:color w:val="000000"/>
          <w:sz w:val="28"/>
          <w:szCs w:val="32"/>
        </w:rPr>
        <w:t xml:space="preserve">MIBC and NMIBC </w:t>
      </w:r>
      <w:r w:rsidRPr="000A28B3">
        <w:rPr>
          <w:rFonts w:asciiTheme="majorBidi" w:hAnsiTheme="majorBidi" w:cstheme="majorBidi"/>
          <w:b/>
          <w:bCs/>
          <w:i/>
          <w:iCs/>
          <w:color w:val="000000"/>
          <w:sz w:val="28"/>
          <w:szCs w:val="32"/>
        </w:rPr>
        <w:t>(Bray et al., 2018)</w:t>
      </w:r>
      <w:r w:rsidRPr="000A28B3">
        <w:rPr>
          <w:rFonts w:asciiTheme="majorBidi" w:hAnsiTheme="majorBidi" w:cstheme="majorBidi"/>
          <w:color w:val="000000"/>
          <w:sz w:val="28"/>
          <w:szCs w:val="32"/>
        </w:rPr>
        <w:t xml:space="preserve">. </w:t>
      </w:r>
    </w:p>
    <w:p w14:paraId="59AFA62E" w14:textId="77777777" w:rsidR="00C226F7" w:rsidRDefault="00C226F7" w:rsidP="00C226F7">
      <w:pPr>
        <w:autoSpaceDE w:val="0"/>
        <w:autoSpaceDN w:val="0"/>
        <w:adjustRightInd w:val="0"/>
        <w:spacing w:line="240" w:lineRule="auto"/>
        <w:ind w:firstLine="0"/>
        <w:jc w:val="left"/>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2. Staging:</w:t>
      </w:r>
    </w:p>
    <w:p w14:paraId="4287194A" w14:textId="4080D85B" w:rsidR="000B3ED4" w:rsidRPr="000A28B3" w:rsidRDefault="00C226F7" w:rsidP="000E7A26">
      <w:pPr>
        <w:pStyle w:val="ListParagraph"/>
        <w:spacing w:before="240" w:after="240" w:line="360" w:lineRule="auto"/>
        <w:ind w:left="0" w:firstLine="720"/>
        <w:jc w:val="both"/>
        <w:rPr>
          <w:rFonts w:asciiTheme="majorBidi" w:hAnsiTheme="majorBidi" w:cstheme="majorBidi"/>
          <w:b/>
          <w:bCs/>
          <w:i/>
          <w:iCs/>
          <w:color w:val="000000"/>
          <w:sz w:val="28"/>
          <w:szCs w:val="32"/>
        </w:rPr>
      </w:pPr>
      <w:r>
        <w:rPr>
          <w:rFonts w:ascii="Times New Roman" w:hAnsi="Times New Roman" w:cs="Times New Roman"/>
          <w:color w:val="000000"/>
          <w:sz w:val="28"/>
          <w:szCs w:val="28"/>
        </w:rPr>
        <w:t>The most widely used and universally accepted staging system is the</w:t>
      </w:r>
      <w:r w:rsidR="00380FC5">
        <w:rPr>
          <w:rFonts w:ascii="Times New Roman" w:hAnsi="Times New Roman" w:cs="Times New Roman"/>
          <w:color w:val="000000"/>
          <w:sz w:val="28"/>
          <w:szCs w:val="28"/>
        </w:rPr>
        <w:t xml:space="preserve"> 2009</w:t>
      </w:r>
      <w:r>
        <w:rPr>
          <w:rFonts w:ascii="Times New Roman" w:hAnsi="Times New Roman" w:cs="Times New Roman"/>
          <w:color w:val="000000"/>
          <w:sz w:val="28"/>
          <w:szCs w:val="28"/>
        </w:rPr>
        <w:t xml:space="preserve"> </w:t>
      </w:r>
      <w:bookmarkStart w:id="12" w:name="_Hlk71752440"/>
      <w:r w:rsidR="00A81B9E">
        <w:rPr>
          <w:rFonts w:ascii="Times New Roman" w:hAnsi="Times New Roman" w:cs="Times New Roman"/>
          <w:color w:val="000000"/>
          <w:sz w:val="28"/>
          <w:szCs w:val="28"/>
        </w:rPr>
        <w:t>tumor</w:t>
      </w:r>
      <w:r>
        <w:rPr>
          <w:rFonts w:ascii="Times New Roman" w:hAnsi="Times New Roman" w:cs="Times New Roman"/>
          <w:color w:val="000000"/>
          <w:sz w:val="28"/>
          <w:szCs w:val="28"/>
        </w:rPr>
        <w:t xml:space="preserve">-node-metastases (TNM) system </w:t>
      </w:r>
      <w:bookmarkEnd w:id="12"/>
      <w:r>
        <w:rPr>
          <w:rFonts w:ascii="Times New Roman" w:hAnsi="Times New Roman" w:cs="Times New Roman"/>
          <w:color w:val="000000"/>
          <w:sz w:val="28"/>
          <w:szCs w:val="28"/>
        </w:rPr>
        <w:t xml:space="preserve">approved by the </w:t>
      </w:r>
      <w:bookmarkStart w:id="13" w:name="_Hlk71752475"/>
      <w:r w:rsidR="00F27BE6" w:rsidRPr="00F27BE6">
        <w:rPr>
          <w:rFonts w:ascii="Times New Roman" w:hAnsi="Times New Roman" w:cs="Times New Roman"/>
          <w:color w:val="000000"/>
          <w:sz w:val="28"/>
          <w:szCs w:val="28"/>
        </w:rPr>
        <w:t xml:space="preserve">Union for International Cancer Control </w:t>
      </w:r>
      <w:r>
        <w:rPr>
          <w:rFonts w:ascii="Times New Roman" w:hAnsi="Times New Roman" w:cs="Times New Roman"/>
          <w:color w:val="000000"/>
          <w:sz w:val="28"/>
          <w:szCs w:val="28"/>
        </w:rPr>
        <w:t>(UICC</w:t>
      </w:r>
      <w:bookmarkEnd w:id="13"/>
      <w:r>
        <w:rPr>
          <w:rFonts w:ascii="Times New Roman" w:hAnsi="Times New Roman" w:cs="Times New Roman"/>
          <w:color w:val="000000"/>
          <w:sz w:val="28"/>
          <w:szCs w:val="28"/>
        </w:rPr>
        <w:t>), which was updated in 20</w:t>
      </w:r>
      <w:r w:rsidR="00380FC5">
        <w:rPr>
          <w:rFonts w:ascii="Times New Roman" w:hAnsi="Times New Roman" w:cs="Times New Roman"/>
          <w:color w:val="000000"/>
          <w:sz w:val="28"/>
          <w:szCs w:val="28"/>
        </w:rPr>
        <w:t>17 but no change in relation to bladder tumors</w:t>
      </w:r>
      <w:r>
        <w:rPr>
          <w:rFonts w:ascii="Times New Roman" w:hAnsi="Times New Roman" w:cs="Times New Roman"/>
          <w:color w:val="000000"/>
          <w:sz w:val="28"/>
          <w:szCs w:val="28"/>
        </w:rPr>
        <w:t>, shown in (table 1) (</w:t>
      </w:r>
      <w:r w:rsidR="000E7A26">
        <w:rPr>
          <w:rFonts w:asciiTheme="majorBidi" w:hAnsiTheme="majorBidi" w:cstheme="majorBidi"/>
          <w:color w:val="000000"/>
          <w:sz w:val="28"/>
          <w:szCs w:val="28"/>
        </w:rPr>
        <w:t>figure</w:t>
      </w:r>
      <w:r w:rsidR="000E7A26">
        <w:rPr>
          <w:rFonts w:ascii="Times New Roman" w:hAnsi="Times New Roman" w:cs="Times New Roman"/>
          <w:color w:val="000000"/>
          <w:sz w:val="28"/>
          <w:szCs w:val="28"/>
        </w:rPr>
        <w:t xml:space="preserve"> </w:t>
      </w:r>
      <w:r w:rsidR="00FB36D4">
        <w:rPr>
          <w:rFonts w:ascii="Times New Roman" w:hAnsi="Times New Roman" w:cs="Times New Roman"/>
          <w:color w:val="000000"/>
          <w:sz w:val="28"/>
          <w:szCs w:val="28"/>
        </w:rPr>
        <w:t>2</w:t>
      </w:r>
      <w:r>
        <w:rPr>
          <w:rFonts w:ascii="Times New Roman" w:hAnsi="Times New Roman" w:cs="Times New Roman"/>
          <w:color w:val="000000"/>
          <w:sz w:val="28"/>
          <w:szCs w:val="28"/>
        </w:rPr>
        <w:t xml:space="preserve">) </w:t>
      </w:r>
      <w:r w:rsidR="000B3ED4" w:rsidRPr="00BD2DAA">
        <w:rPr>
          <w:rFonts w:asciiTheme="majorBidi" w:hAnsiTheme="majorBidi" w:cstheme="majorBidi"/>
          <w:b/>
          <w:bCs/>
          <w:i/>
          <w:iCs/>
          <w:color w:val="000000"/>
          <w:sz w:val="28"/>
          <w:szCs w:val="32"/>
        </w:rPr>
        <w:t>(</w:t>
      </w:r>
      <w:r w:rsidR="00FB36D4" w:rsidRPr="00FB36D4">
        <w:rPr>
          <w:rFonts w:asciiTheme="majorBidi" w:hAnsiTheme="majorBidi" w:cstheme="majorBidi"/>
          <w:b/>
          <w:bCs/>
          <w:i/>
          <w:iCs/>
          <w:color w:val="000000"/>
          <w:sz w:val="28"/>
          <w:szCs w:val="32"/>
        </w:rPr>
        <w:t>Magers</w:t>
      </w:r>
      <w:r w:rsidR="000B3ED4" w:rsidRPr="00BD2DAA">
        <w:rPr>
          <w:rFonts w:asciiTheme="majorBidi" w:hAnsiTheme="majorBidi" w:cstheme="majorBidi"/>
          <w:b/>
          <w:bCs/>
          <w:i/>
          <w:iCs/>
          <w:color w:val="000000"/>
          <w:sz w:val="28"/>
          <w:szCs w:val="32"/>
        </w:rPr>
        <w:t xml:space="preserve"> et al., 2019). </w:t>
      </w:r>
    </w:p>
    <w:p w14:paraId="53E1F8E9" w14:textId="576087DD" w:rsidR="00C226F7" w:rsidRPr="00F0014A" w:rsidRDefault="00C226F7" w:rsidP="00746560">
      <w:pPr>
        <w:pStyle w:val="ListParagraph"/>
        <w:spacing w:before="240" w:after="240" w:line="360" w:lineRule="auto"/>
        <w:ind w:left="0" w:hanging="90"/>
        <w:jc w:val="both"/>
        <w:rPr>
          <w:rFonts w:asciiTheme="majorBidi" w:hAnsiTheme="majorBidi" w:cstheme="majorBidi"/>
          <w:color w:val="000000"/>
          <w:sz w:val="28"/>
          <w:szCs w:val="32"/>
        </w:rPr>
      </w:pPr>
      <w:r w:rsidRPr="000B3ED4">
        <w:rPr>
          <w:rFonts w:ascii="Times New Roman" w:hAnsi="Times New Roman" w:cs="Times New Roman"/>
          <w:b/>
          <w:bCs/>
          <w:color w:val="000000"/>
          <w:sz w:val="28"/>
          <w:szCs w:val="28"/>
        </w:rPr>
        <w:t xml:space="preserve">Table (1): </w:t>
      </w:r>
      <w:r w:rsidRPr="000B3ED4">
        <w:rPr>
          <w:rFonts w:ascii="Times New Roman" w:hAnsi="Times New Roman" w:cs="Times New Roman"/>
          <w:color w:val="000000"/>
          <w:sz w:val="28"/>
          <w:szCs w:val="28"/>
        </w:rPr>
        <w:t>2009 TNM classification of urinary bladder cancer</w:t>
      </w:r>
      <w:r w:rsidR="000B3ED4">
        <w:rPr>
          <w:rFonts w:ascii="Times New Roman" w:hAnsi="Times New Roman" w:cs="Times New Roman"/>
          <w:color w:val="000000"/>
          <w:sz w:val="28"/>
          <w:szCs w:val="28"/>
        </w:rPr>
        <w:t xml:space="preserve">: </w:t>
      </w:r>
      <w:r w:rsidR="000B3ED4" w:rsidRPr="00F0014A">
        <w:rPr>
          <w:rFonts w:asciiTheme="majorBidi" w:hAnsiTheme="majorBidi" w:cstheme="majorBidi"/>
          <w:color w:val="000000"/>
          <w:sz w:val="28"/>
          <w:szCs w:val="32"/>
        </w:rPr>
        <w:t>from The American Joint Committee on Cancer (AJCC) Staging System (8th edition, 2017)</w:t>
      </w:r>
      <w:r w:rsidR="00746560">
        <w:rPr>
          <w:rFonts w:asciiTheme="majorBidi" w:hAnsiTheme="majorBidi" w:cstheme="majorBidi"/>
          <w:color w:val="000000"/>
          <w:sz w:val="28"/>
          <w:szCs w:val="32"/>
        </w:rPr>
        <w:t>:</w:t>
      </w:r>
    </w:p>
    <w:tbl>
      <w:tblPr>
        <w:tblStyle w:val="TableGrid"/>
        <w:tblW w:w="8914" w:type="dxa"/>
        <w:tblInd w:w="284" w:type="dxa"/>
        <w:tblLook w:val="04A0" w:firstRow="1" w:lastRow="0" w:firstColumn="1" w:lastColumn="0" w:noHBand="0" w:noVBand="1"/>
      </w:tblPr>
      <w:tblGrid>
        <w:gridCol w:w="724"/>
        <w:gridCol w:w="90"/>
        <w:gridCol w:w="8100"/>
      </w:tblGrid>
      <w:tr w:rsidR="001E36CA" w:rsidRPr="00F27BE6" w14:paraId="4982E4D3" w14:textId="77777777" w:rsidTr="00B44B23">
        <w:trPr>
          <w:trHeight w:val="377"/>
        </w:trPr>
        <w:tc>
          <w:tcPr>
            <w:tcW w:w="8914" w:type="dxa"/>
            <w:gridSpan w:val="3"/>
            <w:shd w:val="clear" w:color="auto" w:fill="D9D9D9" w:themeFill="background1" w:themeFillShade="D9"/>
          </w:tcPr>
          <w:p w14:paraId="1F16D1FF" w14:textId="77777777" w:rsidR="001E36CA" w:rsidRPr="00F27BE6" w:rsidRDefault="001E36CA" w:rsidP="00A03AAD">
            <w:pPr>
              <w:pStyle w:val="ListParagraph"/>
              <w:ind w:left="0" w:firstLine="720"/>
              <w:contextualSpacing w:val="0"/>
              <w:jc w:val="center"/>
              <w:rPr>
                <w:rFonts w:asciiTheme="majorBidi" w:hAnsiTheme="majorBidi" w:cstheme="majorBidi"/>
                <w:color w:val="000000"/>
                <w:sz w:val="28"/>
                <w:szCs w:val="28"/>
              </w:rPr>
            </w:pPr>
            <w:r w:rsidRPr="00F27BE6">
              <w:rPr>
                <w:rFonts w:asciiTheme="majorBidi" w:hAnsiTheme="majorBidi" w:cstheme="majorBidi"/>
                <w:color w:val="000000"/>
                <w:sz w:val="28"/>
                <w:szCs w:val="28"/>
              </w:rPr>
              <w:t>T - Primary Tumor</w:t>
            </w:r>
          </w:p>
        </w:tc>
      </w:tr>
      <w:tr w:rsidR="001E36CA" w:rsidRPr="00F27BE6" w14:paraId="023E6C47" w14:textId="77777777" w:rsidTr="00B44B23">
        <w:trPr>
          <w:trHeight w:val="422"/>
        </w:trPr>
        <w:tc>
          <w:tcPr>
            <w:tcW w:w="814" w:type="dxa"/>
            <w:gridSpan w:val="2"/>
          </w:tcPr>
          <w:p w14:paraId="3D914D8A"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Tx </w:t>
            </w:r>
          </w:p>
        </w:tc>
        <w:tc>
          <w:tcPr>
            <w:tcW w:w="8100" w:type="dxa"/>
          </w:tcPr>
          <w:p w14:paraId="0A588DA3" w14:textId="77777777" w:rsidR="001E36CA" w:rsidRPr="00F27BE6" w:rsidRDefault="001E36CA" w:rsidP="00A03AAD">
            <w:pPr>
              <w:pStyle w:val="ListParagraph"/>
              <w:ind w:left="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Primary tumor cannot be assessed</w:t>
            </w:r>
          </w:p>
        </w:tc>
      </w:tr>
      <w:tr w:rsidR="001E36CA" w:rsidRPr="00F27BE6" w14:paraId="02480D5A" w14:textId="77777777" w:rsidTr="00B44B23">
        <w:trPr>
          <w:trHeight w:val="133"/>
        </w:trPr>
        <w:tc>
          <w:tcPr>
            <w:tcW w:w="814" w:type="dxa"/>
            <w:gridSpan w:val="2"/>
          </w:tcPr>
          <w:p w14:paraId="2FCC8CE7"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T0 </w:t>
            </w:r>
          </w:p>
        </w:tc>
        <w:tc>
          <w:tcPr>
            <w:tcW w:w="8100" w:type="dxa"/>
          </w:tcPr>
          <w:p w14:paraId="55463ABB" w14:textId="77777777" w:rsidR="001E36CA" w:rsidRPr="00F27BE6" w:rsidRDefault="001E36CA" w:rsidP="00A03AAD">
            <w:pPr>
              <w:pStyle w:val="ListParagraph"/>
              <w:ind w:left="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No evidence of primary tumor</w:t>
            </w:r>
          </w:p>
        </w:tc>
      </w:tr>
      <w:tr w:rsidR="001E36CA" w:rsidRPr="00F27BE6" w14:paraId="625D0616" w14:textId="77777777" w:rsidTr="00B44B23">
        <w:trPr>
          <w:trHeight w:val="133"/>
        </w:trPr>
        <w:tc>
          <w:tcPr>
            <w:tcW w:w="814" w:type="dxa"/>
            <w:gridSpan w:val="2"/>
          </w:tcPr>
          <w:p w14:paraId="2134DB03"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Ta </w:t>
            </w:r>
          </w:p>
        </w:tc>
        <w:tc>
          <w:tcPr>
            <w:tcW w:w="8100" w:type="dxa"/>
          </w:tcPr>
          <w:p w14:paraId="03C2C71B" w14:textId="77777777" w:rsidR="001E36CA" w:rsidRPr="00F27BE6" w:rsidRDefault="001E36CA" w:rsidP="00A03AAD">
            <w:pPr>
              <w:pStyle w:val="ListParagraph"/>
              <w:ind w:left="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Non-invasive papillary carcinoma</w:t>
            </w:r>
          </w:p>
        </w:tc>
      </w:tr>
      <w:tr w:rsidR="001E36CA" w:rsidRPr="00F27BE6" w14:paraId="1F80EBAC" w14:textId="77777777" w:rsidTr="00B44B23">
        <w:trPr>
          <w:trHeight w:val="133"/>
        </w:trPr>
        <w:tc>
          <w:tcPr>
            <w:tcW w:w="814" w:type="dxa"/>
            <w:gridSpan w:val="2"/>
          </w:tcPr>
          <w:p w14:paraId="25BF6B70"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Tis </w:t>
            </w:r>
          </w:p>
        </w:tc>
        <w:tc>
          <w:tcPr>
            <w:tcW w:w="8100" w:type="dxa"/>
          </w:tcPr>
          <w:p w14:paraId="3B895B50" w14:textId="77777777" w:rsidR="001E36CA" w:rsidRPr="00F27BE6" w:rsidRDefault="001E36CA" w:rsidP="00A03AAD">
            <w:pPr>
              <w:pStyle w:val="ListParagraph"/>
              <w:ind w:left="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Carcinoma in situ: “flat tumor”</w:t>
            </w:r>
          </w:p>
        </w:tc>
      </w:tr>
      <w:tr w:rsidR="001E36CA" w:rsidRPr="00F27BE6" w14:paraId="76A750B9" w14:textId="77777777" w:rsidTr="00B44B23">
        <w:trPr>
          <w:trHeight w:val="524"/>
        </w:trPr>
        <w:tc>
          <w:tcPr>
            <w:tcW w:w="814" w:type="dxa"/>
            <w:gridSpan w:val="2"/>
          </w:tcPr>
          <w:p w14:paraId="2FDDF6A2"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T1 </w:t>
            </w:r>
          </w:p>
        </w:tc>
        <w:tc>
          <w:tcPr>
            <w:tcW w:w="8100" w:type="dxa"/>
          </w:tcPr>
          <w:p w14:paraId="714B73D3" w14:textId="77777777" w:rsidR="001E36CA" w:rsidRPr="00F27BE6" w:rsidRDefault="001E36CA" w:rsidP="00A03AAD">
            <w:pPr>
              <w:pStyle w:val="ListParagraph"/>
              <w:ind w:left="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Tumor invades subepithelial connective tissue</w:t>
            </w:r>
          </w:p>
        </w:tc>
      </w:tr>
      <w:tr w:rsidR="001E36CA" w:rsidRPr="00F27BE6" w14:paraId="72BF4175" w14:textId="77777777" w:rsidTr="00B44B23">
        <w:trPr>
          <w:trHeight w:val="524"/>
        </w:trPr>
        <w:tc>
          <w:tcPr>
            <w:tcW w:w="814" w:type="dxa"/>
            <w:gridSpan w:val="2"/>
          </w:tcPr>
          <w:p w14:paraId="0BD0B8C7"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T2 </w:t>
            </w:r>
          </w:p>
        </w:tc>
        <w:tc>
          <w:tcPr>
            <w:tcW w:w="8100" w:type="dxa"/>
          </w:tcPr>
          <w:p w14:paraId="614D6F9A" w14:textId="77777777" w:rsidR="001E36CA" w:rsidRPr="00F27BE6" w:rsidRDefault="001E36CA" w:rsidP="00A03AAD">
            <w:pPr>
              <w:pStyle w:val="ListParagraph"/>
              <w:ind w:left="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Tumor invades muscle</w:t>
            </w:r>
          </w:p>
        </w:tc>
      </w:tr>
      <w:tr w:rsidR="001E36CA" w:rsidRPr="00F27BE6" w14:paraId="6DE33938" w14:textId="77777777" w:rsidTr="00B44B23">
        <w:trPr>
          <w:trHeight w:val="524"/>
        </w:trPr>
        <w:tc>
          <w:tcPr>
            <w:tcW w:w="814" w:type="dxa"/>
            <w:gridSpan w:val="2"/>
          </w:tcPr>
          <w:p w14:paraId="2E3F0F87"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T2a </w:t>
            </w:r>
          </w:p>
        </w:tc>
        <w:tc>
          <w:tcPr>
            <w:tcW w:w="8100" w:type="dxa"/>
          </w:tcPr>
          <w:p w14:paraId="444388C8" w14:textId="77777777" w:rsidR="001E36CA" w:rsidRPr="00F27BE6" w:rsidRDefault="001E36CA" w:rsidP="00A03AAD">
            <w:pPr>
              <w:pStyle w:val="ListParagraph"/>
              <w:ind w:left="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Tumor invades superficial muscle (inner half)</w:t>
            </w:r>
          </w:p>
        </w:tc>
      </w:tr>
      <w:tr w:rsidR="001E36CA" w:rsidRPr="00F27BE6" w14:paraId="73EF2480" w14:textId="77777777" w:rsidTr="00B44B23">
        <w:trPr>
          <w:trHeight w:val="524"/>
        </w:trPr>
        <w:tc>
          <w:tcPr>
            <w:tcW w:w="814" w:type="dxa"/>
            <w:gridSpan w:val="2"/>
          </w:tcPr>
          <w:p w14:paraId="41170E02"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T2b </w:t>
            </w:r>
          </w:p>
        </w:tc>
        <w:tc>
          <w:tcPr>
            <w:tcW w:w="8100" w:type="dxa"/>
          </w:tcPr>
          <w:p w14:paraId="2C813586" w14:textId="77777777" w:rsidR="001E36CA" w:rsidRPr="00F27BE6" w:rsidRDefault="001E36CA" w:rsidP="00A03AAD">
            <w:pPr>
              <w:pStyle w:val="ListParagraph"/>
              <w:ind w:left="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Tumor invades deep muscle (outer half)</w:t>
            </w:r>
          </w:p>
        </w:tc>
      </w:tr>
      <w:tr w:rsidR="001E36CA" w:rsidRPr="00F27BE6" w14:paraId="78C8E342" w14:textId="77777777" w:rsidTr="00B44B23">
        <w:trPr>
          <w:trHeight w:val="524"/>
        </w:trPr>
        <w:tc>
          <w:tcPr>
            <w:tcW w:w="814" w:type="dxa"/>
            <w:gridSpan w:val="2"/>
          </w:tcPr>
          <w:p w14:paraId="38584600"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T3 </w:t>
            </w:r>
          </w:p>
        </w:tc>
        <w:tc>
          <w:tcPr>
            <w:tcW w:w="8100" w:type="dxa"/>
          </w:tcPr>
          <w:p w14:paraId="2D823F73" w14:textId="77777777" w:rsidR="001E36CA" w:rsidRPr="00F27BE6" w:rsidRDefault="001E36CA" w:rsidP="00A03AAD">
            <w:pPr>
              <w:pStyle w:val="ListParagraph"/>
              <w:ind w:left="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Tumor invades perivesical tissue:</w:t>
            </w:r>
          </w:p>
        </w:tc>
      </w:tr>
      <w:tr w:rsidR="001E36CA" w:rsidRPr="00F27BE6" w14:paraId="5A9D1CC4" w14:textId="77777777" w:rsidTr="00B44B23">
        <w:trPr>
          <w:trHeight w:val="524"/>
        </w:trPr>
        <w:tc>
          <w:tcPr>
            <w:tcW w:w="814" w:type="dxa"/>
            <w:gridSpan w:val="2"/>
          </w:tcPr>
          <w:p w14:paraId="4DC35BED"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T3a </w:t>
            </w:r>
          </w:p>
        </w:tc>
        <w:tc>
          <w:tcPr>
            <w:tcW w:w="8100" w:type="dxa"/>
          </w:tcPr>
          <w:p w14:paraId="5AAA842A" w14:textId="77777777" w:rsidR="001E36CA" w:rsidRPr="00F27BE6" w:rsidRDefault="001E36CA" w:rsidP="00A03AAD">
            <w:pPr>
              <w:pStyle w:val="ListParagraph"/>
              <w:ind w:left="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microscopically</w:t>
            </w:r>
          </w:p>
        </w:tc>
      </w:tr>
      <w:tr w:rsidR="001E36CA" w:rsidRPr="00F27BE6" w14:paraId="54109B06" w14:textId="77777777" w:rsidTr="00B44B23">
        <w:trPr>
          <w:trHeight w:val="512"/>
        </w:trPr>
        <w:tc>
          <w:tcPr>
            <w:tcW w:w="814" w:type="dxa"/>
            <w:gridSpan w:val="2"/>
          </w:tcPr>
          <w:p w14:paraId="58657F6A"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T3b </w:t>
            </w:r>
          </w:p>
        </w:tc>
        <w:tc>
          <w:tcPr>
            <w:tcW w:w="8100" w:type="dxa"/>
          </w:tcPr>
          <w:p w14:paraId="48D5FB25" w14:textId="77777777" w:rsidR="001E36CA" w:rsidRPr="00F27BE6" w:rsidRDefault="001E36CA" w:rsidP="00A03AAD">
            <w:pPr>
              <w:pStyle w:val="ListParagraph"/>
              <w:ind w:left="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macroscopically (extravesical mass)</w:t>
            </w:r>
          </w:p>
        </w:tc>
      </w:tr>
      <w:tr w:rsidR="001E36CA" w:rsidRPr="00F27BE6" w14:paraId="2E849342" w14:textId="77777777" w:rsidTr="00B44B23">
        <w:trPr>
          <w:trHeight w:val="869"/>
        </w:trPr>
        <w:tc>
          <w:tcPr>
            <w:tcW w:w="814" w:type="dxa"/>
            <w:gridSpan w:val="2"/>
          </w:tcPr>
          <w:p w14:paraId="1C181431"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T4 </w:t>
            </w:r>
          </w:p>
        </w:tc>
        <w:tc>
          <w:tcPr>
            <w:tcW w:w="8100" w:type="dxa"/>
          </w:tcPr>
          <w:p w14:paraId="62CB5B90" w14:textId="77777777" w:rsidR="001E36CA" w:rsidRPr="00F27BE6" w:rsidRDefault="001E36CA" w:rsidP="00A03AAD">
            <w:pPr>
              <w:pStyle w:val="ListParagraph"/>
              <w:ind w:left="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Tumor invades any of the following: prostate stroma, seminal vesicles, uterus, vagina, pelvic wall, abdominal wall</w:t>
            </w:r>
          </w:p>
        </w:tc>
      </w:tr>
      <w:tr w:rsidR="001E36CA" w:rsidRPr="00F27BE6" w14:paraId="089F912F" w14:textId="77777777" w:rsidTr="00B44B23">
        <w:trPr>
          <w:trHeight w:val="869"/>
        </w:trPr>
        <w:tc>
          <w:tcPr>
            <w:tcW w:w="814" w:type="dxa"/>
            <w:gridSpan w:val="2"/>
          </w:tcPr>
          <w:p w14:paraId="2F120CB1"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T4a </w:t>
            </w:r>
          </w:p>
        </w:tc>
        <w:tc>
          <w:tcPr>
            <w:tcW w:w="8100" w:type="dxa"/>
          </w:tcPr>
          <w:p w14:paraId="627DA13D" w14:textId="77777777" w:rsidR="001E36CA" w:rsidRPr="00F27BE6" w:rsidRDefault="001E36CA" w:rsidP="00A03AAD">
            <w:pPr>
              <w:pStyle w:val="ListParagraph"/>
              <w:ind w:left="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Tumor invades prostate stroma, seminal vesicles, uterus, or vagina</w:t>
            </w:r>
          </w:p>
        </w:tc>
      </w:tr>
      <w:tr w:rsidR="001E36CA" w:rsidRPr="00F27BE6" w14:paraId="4A9F5EB2" w14:textId="77777777" w:rsidTr="00B44B23">
        <w:trPr>
          <w:trHeight w:val="524"/>
        </w:trPr>
        <w:tc>
          <w:tcPr>
            <w:tcW w:w="814" w:type="dxa"/>
            <w:gridSpan w:val="2"/>
          </w:tcPr>
          <w:p w14:paraId="6C915A64"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T4b </w:t>
            </w:r>
          </w:p>
        </w:tc>
        <w:tc>
          <w:tcPr>
            <w:tcW w:w="8100" w:type="dxa"/>
          </w:tcPr>
          <w:p w14:paraId="1F458F83" w14:textId="77777777" w:rsidR="001E36CA" w:rsidRPr="00F27BE6" w:rsidRDefault="001E36CA" w:rsidP="00A03AAD">
            <w:pPr>
              <w:pStyle w:val="ListParagraph"/>
              <w:ind w:left="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Tumor invades pelvic wall or abdominal wall</w:t>
            </w:r>
          </w:p>
        </w:tc>
      </w:tr>
      <w:tr w:rsidR="001E36CA" w:rsidRPr="00F27BE6" w14:paraId="35D89A34" w14:textId="77777777" w:rsidTr="00B44B23">
        <w:trPr>
          <w:trHeight w:val="524"/>
        </w:trPr>
        <w:tc>
          <w:tcPr>
            <w:tcW w:w="8914" w:type="dxa"/>
            <w:gridSpan w:val="3"/>
            <w:shd w:val="clear" w:color="auto" w:fill="D9D9D9" w:themeFill="background1" w:themeFillShade="D9"/>
          </w:tcPr>
          <w:p w14:paraId="5F009ECA" w14:textId="77777777" w:rsidR="001E36CA" w:rsidRPr="00F27BE6" w:rsidRDefault="001E36CA" w:rsidP="00A03AAD">
            <w:pPr>
              <w:pStyle w:val="ListParagraph"/>
              <w:ind w:left="0" w:firstLine="140"/>
              <w:contextualSpacing w:val="0"/>
              <w:jc w:val="center"/>
              <w:rPr>
                <w:rFonts w:asciiTheme="majorBidi" w:hAnsiTheme="majorBidi" w:cstheme="majorBidi"/>
                <w:color w:val="000000"/>
                <w:sz w:val="28"/>
                <w:szCs w:val="28"/>
              </w:rPr>
            </w:pPr>
            <w:r w:rsidRPr="00F27BE6">
              <w:rPr>
                <w:rFonts w:asciiTheme="majorBidi" w:hAnsiTheme="majorBidi" w:cstheme="majorBidi"/>
                <w:color w:val="000000"/>
                <w:sz w:val="28"/>
                <w:szCs w:val="28"/>
              </w:rPr>
              <w:lastRenderedPageBreak/>
              <w:t>N - Regional Lymph Nodes</w:t>
            </w:r>
          </w:p>
        </w:tc>
      </w:tr>
      <w:tr w:rsidR="001E36CA" w:rsidRPr="00F27BE6" w14:paraId="20EF167E" w14:textId="77777777" w:rsidTr="00B44B23">
        <w:trPr>
          <w:trHeight w:val="512"/>
        </w:trPr>
        <w:tc>
          <w:tcPr>
            <w:tcW w:w="724" w:type="dxa"/>
          </w:tcPr>
          <w:p w14:paraId="51A0892B"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Nx </w:t>
            </w:r>
          </w:p>
        </w:tc>
        <w:tc>
          <w:tcPr>
            <w:tcW w:w="8190" w:type="dxa"/>
            <w:gridSpan w:val="2"/>
          </w:tcPr>
          <w:p w14:paraId="16BB0D04" w14:textId="77777777" w:rsidR="001E36CA" w:rsidRPr="00F27BE6" w:rsidRDefault="001E36CA" w:rsidP="00A03AAD">
            <w:pPr>
              <w:pStyle w:val="ListParagraph"/>
              <w:ind w:left="0" w:firstLine="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Regional lymph nodes cannot be assessed</w:t>
            </w:r>
          </w:p>
        </w:tc>
      </w:tr>
      <w:tr w:rsidR="001E36CA" w:rsidRPr="00F27BE6" w14:paraId="1B858610" w14:textId="77777777" w:rsidTr="00B44B23">
        <w:trPr>
          <w:trHeight w:val="264"/>
        </w:trPr>
        <w:tc>
          <w:tcPr>
            <w:tcW w:w="724" w:type="dxa"/>
          </w:tcPr>
          <w:p w14:paraId="0F3E908E"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N0 </w:t>
            </w:r>
          </w:p>
        </w:tc>
        <w:tc>
          <w:tcPr>
            <w:tcW w:w="8190" w:type="dxa"/>
            <w:gridSpan w:val="2"/>
          </w:tcPr>
          <w:p w14:paraId="6E3C5493" w14:textId="77777777" w:rsidR="001E36CA" w:rsidRPr="00F27BE6" w:rsidRDefault="001E36CA" w:rsidP="00A03AAD">
            <w:pPr>
              <w:pStyle w:val="ListParagraph"/>
              <w:ind w:left="0" w:firstLine="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No regional lymph-node metastasis</w:t>
            </w:r>
          </w:p>
        </w:tc>
      </w:tr>
      <w:tr w:rsidR="001E36CA" w:rsidRPr="00F27BE6" w14:paraId="03D24884" w14:textId="77777777" w:rsidTr="00B44B23">
        <w:trPr>
          <w:trHeight w:val="579"/>
        </w:trPr>
        <w:tc>
          <w:tcPr>
            <w:tcW w:w="724" w:type="dxa"/>
          </w:tcPr>
          <w:p w14:paraId="6C74D4A0"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N1</w:t>
            </w:r>
          </w:p>
        </w:tc>
        <w:tc>
          <w:tcPr>
            <w:tcW w:w="8190" w:type="dxa"/>
            <w:gridSpan w:val="2"/>
          </w:tcPr>
          <w:p w14:paraId="590DDC89" w14:textId="77777777" w:rsidR="001E36CA" w:rsidRPr="00F27BE6" w:rsidRDefault="001E36CA" w:rsidP="00A03AAD">
            <w:pPr>
              <w:pStyle w:val="ListParagraph"/>
              <w:ind w:left="0" w:firstLine="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Metastasis in a single lymph node in the true pelvis (hypogastric, obturator, external iliac, or presacral)</w:t>
            </w:r>
          </w:p>
        </w:tc>
      </w:tr>
      <w:tr w:rsidR="001E36CA" w:rsidRPr="00F27BE6" w14:paraId="1D3951DD" w14:textId="77777777" w:rsidTr="00B44B23">
        <w:trPr>
          <w:trHeight w:val="671"/>
        </w:trPr>
        <w:tc>
          <w:tcPr>
            <w:tcW w:w="724" w:type="dxa"/>
          </w:tcPr>
          <w:p w14:paraId="3534B424"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N2 </w:t>
            </w:r>
          </w:p>
        </w:tc>
        <w:tc>
          <w:tcPr>
            <w:tcW w:w="8190" w:type="dxa"/>
            <w:gridSpan w:val="2"/>
          </w:tcPr>
          <w:p w14:paraId="41EF87CB" w14:textId="77777777" w:rsidR="001E36CA" w:rsidRPr="00F27BE6" w:rsidRDefault="001E36CA" w:rsidP="00A03AAD">
            <w:pPr>
              <w:pStyle w:val="ListParagraph"/>
              <w:ind w:left="0" w:firstLine="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Metastasis in multiple lymph nodes in the true pelvis (hypogastric, obturator, external iliac, or presacral)</w:t>
            </w:r>
          </w:p>
        </w:tc>
      </w:tr>
      <w:tr w:rsidR="001E36CA" w:rsidRPr="00F27BE6" w14:paraId="5AF451FA" w14:textId="77777777" w:rsidTr="00B44B23">
        <w:trPr>
          <w:trHeight w:val="338"/>
        </w:trPr>
        <w:tc>
          <w:tcPr>
            <w:tcW w:w="724" w:type="dxa"/>
          </w:tcPr>
          <w:p w14:paraId="3B0639F7"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N3 </w:t>
            </w:r>
          </w:p>
        </w:tc>
        <w:tc>
          <w:tcPr>
            <w:tcW w:w="8190" w:type="dxa"/>
            <w:gridSpan w:val="2"/>
          </w:tcPr>
          <w:p w14:paraId="78EA98C9" w14:textId="77777777" w:rsidR="001E36CA" w:rsidRPr="00F27BE6" w:rsidRDefault="001E36CA" w:rsidP="00A03AAD">
            <w:pPr>
              <w:pStyle w:val="ListParagraph"/>
              <w:ind w:left="0" w:firstLine="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Metastasis in common iliac lymph node(s)</w:t>
            </w:r>
          </w:p>
        </w:tc>
      </w:tr>
      <w:tr w:rsidR="001E36CA" w:rsidRPr="00F27BE6" w14:paraId="2D5B0927" w14:textId="77777777" w:rsidTr="00B44B23">
        <w:trPr>
          <w:trHeight w:val="322"/>
        </w:trPr>
        <w:tc>
          <w:tcPr>
            <w:tcW w:w="8914" w:type="dxa"/>
            <w:gridSpan w:val="3"/>
            <w:shd w:val="clear" w:color="auto" w:fill="D9D9D9" w:themeFill="background1" w:themeFillShade="D9"/>
          </w:tcPr>
          <w:p w14:paraId="69F9C081" w14:textId="77777777" w:rsidR="001E36CA" w:rsidRPr="00F27BE6" w:rsidRDefault="001E36CA" w:rsidP="00A03AAD">
            <w:pPr>
              <w:pStyle w:val="ListParagraph"/>
              <w:ind w:left="0" w:firstLine="140"/>
              <w:contextualSpacing w:val="0"/>
              <w:jc w:val="center"/>
              <w:rPr>
                <w:rFonts w:asciiTheme="majorBidi" w:hAnsiTheme="majorBidi" w:cstheme="majorBidi"/>
                <w:color w:val="000000"/>
                <w:sz w:val="28"/>
                <w:szCs w:val="28"/>
              </w:rPr>
            </w:pPr>
            <w:r w:rsidRPr="00F27BE6">
              <w:rPr>
                <w:rFonts w:asciiTheme="majorBidi" w:hAnsiTheme="majorBidi" w:cstheme="majorBidi"/>
                <w:color w:val="000000"/>
                <w:sz w:val="28"/>
                <w:szCs w:val="28"/>
              </w:rPr>
              <w:t>M – Distant Metastasis</w:t>
            </w:r>
          </w:p>
        </w:tc>
      </w:tr>
      <w:tr w:rsidR="001E36CA" w:rsidRPr="00F27BE6" w14:paraId="7E071CB0" w14:textId="77777777" w:rsidTr="00B44B23">
        <w:trPr>
          <w:trHeight w:val="524"/>
        </w:trPr>
        <w:tc>
          <w:tcPr>
            <w:tcW w:w="724" w:type="dxa"/>
          </w:tcPr>
          <w:p w14:paraId="187AF36A" w14:textId="77777777" w:rsidR="001E36CA" w:rsidRPr="00F27BE6" w:rsidRDefault="001E36CA" w:rsidP="00A03AAD">
            <w:pPr>
              <w:pStyle w:val="ListParagraph"/>
              <w:ind w:left="0" w:firstLine="140"/>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M0 </w:t>
            </w:r>
          </w:p>
        </w:tc>
        <w:tc>
          <w:tcPr>
            <w:tcW w:w="8190" w:type="dxa"/>
            <w:gridSpan w:val="2"/>
          </w:tcPr>
          <w:p w14:paraId="3FD8DF9B" w14:textId="77777777" w:rsidR="001E36CA" w:rsidRPr="00F27BE6" w:rsidRDefault="001E36CA" w:rsidP="00A03AAD">
            <w:pPr>
              <w:pStyle w:val="ListParagraph"/>
              <w:ind w:left="0" w:firstLine="39"/>
              <w:contextualSpacing w:val="0"/>
              <w:rPr>
                <w:rFonts w:asciiTheme="majorBidi" w:hAnsiTheme="majorBidi" w:cstheme="majorBidi"/>
                <w:color w:val="000000"/>
                <w:sz w:val="28"/>
                <w:szCs w:val="28"/>
              </w:rPr>
            </w:pPr>
            <w:r w:rsidRPr="00F27BE6">
              <w:rPr>
                <w:rFonts w:asciiTheme="majorBidi" w:hAnsiTheme="majorBidi" w:cstheme="majorBidi"/>
                <w:color w:val="000000"/>
                <w:sz w:val="28"/>
                <w:szCs w:val="28"/>
              </w:rPr>
              <w:t>No distant metastasis</w:t>
            </w:r>
          </w:p>
        </w:tc>
      </w:tr>
      <w:tr w:rsidR="001E36CA" w:rsidRPr="00F27BE6" w14:paraId="26C78E6D" w14:textId="77777777" w:rsidTr="00B44B23">
        <w:trPr>
          <w:trHeight w:val="269"/>
        </w:trPr>
        <w:tc>
          <w:tcPr>
            <w:tcW w:w="724" w:type="dxa"/>
          </w:tcPr>
          <w:p w14:paraId="71E494E7" w14:textId="77777777" w:rsidR="001E36CA" w:rsidRPr="00F27BE6" w:rsidRDefault="001E36CA" w:rsidP="00A03AAD">
            <w:pPr>
              <w:pStyle w:val="ListParagraph"/>
              <w:ind w:left="0" w:firstLine="140"/>
              <w:contextualSpacing w:val="0"/>
              <w:jc w:val="both"/>
              <w:rPr>
                <w:rFonts w:asciiTheme="majorBidi" w:hAnsiTheme="majorBidi" w:cstheme="majorBidi"/>
                <w:color w:val="000000"/>
                <w:sz w:val="28"/>
                <w:szCs w:val="28"/>
              </w:rPr>
            </w:pPr>
            <w:r w:rsidRPr="00F27BE6">
              <w:rPr>
                <w:rFonts w:asciiTheme="majorBidi" w:hAnsiTheme="majorBidi" w:cstheme="majorBidi"/>
                <w:color w:val="000000"/>
                <w:sz w:val="28"/>
                <w:szCs w:val="28"/>
              </w:rPr>
              <w:t xml:space="preserve">M1 </w:t>
            </w:r>
          </w:p>
        </w:tc>
        <w:tc>
          <w:tcPr>
            <w:tcW w:w="8190" w:type="dxa"/>
            <w:gridSpan w:val="2"/>
          </w:tcPr>
          <w:p w14:paraId="6931639E" w14:textId="77777777" w:rsidR="001E36CA" w:rsidRPr="00F27BE6" w:rsidRDefault="001E36CA" w:rsidP="00A03AAD">
            <w:pPr>
              <w:pStyle w:val="ListParagraph"/>
              <w:ind w:left="0" w:firstLine="39"/>
              <w:contextualSpacing w:val="0"/>
              <w:jc w:val="both"/>
              <w:rPr>
                <w:rFonts w:asciiTheme="majorBidi" w:hAnsiTheme="majorBidi" w:cstheme="majorBidi"/>
                <w:color w:val="000000"/>
                <w:sz w:val="28"/>
                <w:szCs w:val="28"/>
              </w:rPr>
            </w:pPr>
            <w:r w:rsidRPr="00F27BE6">
              <w:rPr>
                <w:rFonts w:asciiTheme="majorBidi" w:hAnsiTheme="majorBidi" w:cstheme="majorBidi"/>
                <w:color w:val="000000"/>
                <w:sz w:val="28"/>
                <w:szCs w:val="28"/>
              </w:rPr>
              <w:t>Distant metastasis</w:t>
            </w:r>
          </w:p>
        </w:tc>
      </w:tr>
    </w:tbl>
    <w:p w14:paraId="50AF9FE6" w14:textId="77777777" w:rsidR="00C226F7" w:rsidRDefault="00C226F7" w:rsidP="00C226F7">
      <w:pPr>
        <w:autoSpaceDE w:val="0"/>
        <w:autoSpaceDN w:val="0"/>
        <w:adjustRightInd w:val="0"/>
        <w:spacing w:line="240" w:lineRule="auto"/>
        <w:jc w:val="left"/>
        <w:rPr>
          <w:rFonts w:asciiTheme="majorBidi" w:hAnsiTheme="majorBidi" w:cstheme="majorBidi"/>
          <w:sz w:val="36"/>
          <w:szCs w:val="36"/>
        </w:rPr>
      </w:pPr>
    </w:p>
    <w:p w14:paraId="7C960C26" w14:textId="192C8BD5" w:rsidR="00A81B9E" w:rsidRDefault="00A81B9E" w:rsidP="00C226F7">
      <w:pPr>
        <w:autoSpaceDE w:val="0"/>
        <w:autoSpaceDN w:val="0"/>
        <w:adjustRightInd w:val="0"/>
        <w:spacing w:line="240" w:lineRule="auto"/>
        <w:jc w:val="left"/>
        <w:rPr>
          <w:rFonts w:asciiTheme="majorBidi" w:hAnsiTheme="majorBidi" w:cstheme="majorBidi"/>
          <w:sz w:val="36"/>
          <w:szCs w:val="36"/>
        </w:rPr>
      </w:pPr>
    </w:p>
    <w:p w14:paraId="5CFD1F0D" w14:textId="759D2A29" w:rsidR="00FA503B" w:rsidRDefault="00FA503B" w:rsidP="00C226F7">
      <w:pPr>
        <w:autoSpaceDE w:val="0"/>
        <w:autoSpaceDN w:val="0"/>
        <w:adjustRightInd w:val="0"/>
        <w:spacing w:line="240" w:lineRule="auto"/>
        <w:jc w:val="left"/>
        <w:rPr>
          <w:rFonts w:asciiTheme="majorBidi" w:hAnsiTheme="majorBidi" w:cstheme="majorBidi"/>
          <w:sz w:val="36"/>
          <w:szCs w:val="36"/>
        </w:rPr>
      </w:pPr>
    </w:p>
    <w:p w14:paraId="29674B13" w14:textId="77777777" w:rsidR="00FA503B" w:rsidRDefault="00FA503B" w:rsidP="00C226F7">
      <w:pPr>
        <w:autoSpaceDE w:val="0"/>
        <w:autoSpaceDN w:val="0"/>
        <w:adjustRightInd w:val="0"/>
        <w:spacing w:line="240" w:lineRule="auto"/>
        <w:jc w:val="left"/>
        <w:rPr>
          <w:rFonts w:asciiTheme="majorBidi" w:hAnsiTheme="majorBidi" w:cstheme="majorBidi"/>
          <w:sz w:val="36"/>
          <w:szCs w:val="36"/>
        </w:rPr>
      </w:pPr>
    </w:p>
    <w:p w14:paraId="235D0697" w14:textId="77777777" w:rsidR="00A81B9E" w:rsidRDefault="00FB36D4" w:rsidP="00746560">
      <w:pPr>
        <w:autoSpaceDE w:val="0"/>
        <w:autoSpaceDN w:val="0"/>
        <w:adjustRightInd w:val="0"/>
        <w:spacing w:line="240" w:lineRule="auto"/>
        <w:ind w:firstLine="0"/>
        <w:jc w:val="center"/>
        <w:rPr>
          <w:rFonts w:ascii="Times New Roman" w:hAnsi="Times New Roman" w:cs="Times New Roman"/>
          <w:i/>
          <w:iCs/>
          <w:noProof/>
        </w:rPr>
      </w:pPr>
      <w:r>
        <w:rPr>
          <w:rFonts w:ascii="Times New Roman" w:hAnsi="Times New Roman" w:cs="Times New Roman"/>
          <w:i/>
          <w:iCs/>
          <w:noProof/>
        </w:rPr>
        <w:lastRenderedPageBreak/>
        <w:drawing>
          <wp:inline distT="0" distB="0" distL="0" distR="0" wp14:anchorId="286F7E5B" wp14:editId="584F4166">
            <wp:extent cx="5021676" cy="3963858"/>
            <wp:effectExtent l="38100" t="57150" r="121824" b="93792"/>
            <wp:docPr id="18" name="Picture 18" descr="C:\Users\omnia yossef\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mnia yossef\Desktop\1.png"/>
                    <pic:cNvPicPr>
                      <a:picLocks noChangeAspect="1" noChangeArrowheads="1"/>
                    </pic:cNvPicPr>
                  </pic:nvPicPr>
                  <pic:blipFill>
                    <a:blip r:embed="rId10" cstate="print"/>
                    <a:srcRect/>
                    <a:stretch>
                      <a:fillRect/>
                    </a:stretch>
                  </pic:blipFill>
                  <pic:spPr bwMode="auto">
                    <a:xfrm>
                      <a:off x="0" y="0"/>
                      <a:ext cx="5021541" cy="3963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D2A134" w14:textId="6317A51A" w:rsidR="000301D2" w:rsidRPr="000301D2" w:rsidRDefault="00FB36D4" w:rsidP="000301D2">
      <w:pPr>
        <w:pStyle w:val="ListParagraph"/>
        <w:spacing w:before="240" w:after="240" w:line="360" w:lineRule="auto"/>
        <w:ind w:left="0" w:firstLine="720"/>
        <w:jc w:val="both"/>
        <w:rPr>
          <w:rFonts w:asciiTheme="majorBidi" w:hAnsiTheme="majorBidi" w:cstheme="majorBidi"/>
          <w:b/>
          <w:bCs/>
          <w:i/>
          <w:iCs/>
          <w:color w:val="000000"/>
          <w:sz w:val="24"/>
          <w:szCs w:val="28"/>
        </w:rPr>
      </w:pPr>
      <w:r w:rsidRPr="00FB36D4">
        <w:rPr>
          <w:rFonts w:asciiTheme="majorBidi" w:hAnsiTheme="majorBidi" w:cstheme="majorBidi"/>
          <w:b/>
          <w:bCs/>
          <w:sz w:val="24"/>
          <w:szCs w:val="24"/>
        </w:rPr>
        <w:t xml:space="preserve">Figure (2): Overview of staging of </w:t>
      </w:r>
      <w:r w:rsidR="00012E42" w:rsidRPr="00FB36D4">
        <w:rPr>
          <w:rFonts w:asciiTheme="majorBidi" w:hAnsiTheme="majorBidi" w:cstheme="majorBidi"/>
          <w:b/>
          <w:bCs/>
          <w:sz w:val="24"/>
          <w:szCs w:val="24"/>
        </w:rPr>
        <w:t>tumors</w:t>
      </w:r>
      <w:r w:rsidRPr="00FB36D4">
        <w:rPr>
          <w:rFonts w:asciiTheme="majorBidi" w:hAnsiTheme="majorBidi" w:cstheme="majorBidi"/>
          <w:b/>
          <w:bCs/>
          <w:sz w:val="24"/>
          <w:szCs w:val="24"/>
        </w:rPr>
        <w:t xml:space="preserve"> arising from the urinary bladder, </w:t>
      </w:r>
      <w:proofErr w:type="gramStart"/>
      <w:r w:rsidRPr="00FB36D4">
        <w:rPr>
          <w:rFonts w:asciiTheme="majorBidi" w:hAnsiTheme="majorBidi" w:cstheme="majorBidi"/>
          <w:b/>
          <w:bCs/>
          <w:sz w:val="24"/>
          <w:szCs w:val="24"/>
        </w:rPr>
        <w:t>diverticulum</w:t>
      </w:r>
      <w:proofErr w:type="gramEnd"/>
      <w:r w:rsidRPr="00FB36D4">
        <w:rPr>
          <w:rFonts w:asciiTheme="majorBidi" w:hAnsiTheme="majorBidi" w:cstheme="majorBidi"/>
          <w:b/>
          <w:bCs/>
          <w:sz w:val="24"/>
          <w:szCs w:val="24"/>
        </w:rPr>
        <w:t xml:space="preserve"> and urachal remnants</w:t>
      </w:r>
      <w:r>
        <w:rPr>
          <w:rFonts w:asciiTheme="majorBidi" w:hAnsiTheme="majorBidi" w:cstheme="majorBidi"/>
          <w:b/>
          <w:bCs/>
          <w:sz w:val="24"/>
          <w:szCs w:val="24"/>
        </w:rPr>
        <w:t xml:space="preserve"> </w:t>
      </w:r>
      <w:r w:rsidR="000301D2" w:rsidRPr="000301D2">
        <w:rPr>
          <w:rFonts w:asciiTheme="majorBidi" w:hAnsiTheme="majorBidi" w:cstheme="majorBidi"/>
          <w:b/>
          <w:bCs/>
          <w:i/>
          <w:iCs/>
          <w:color w:val="000000"/>
          <w:sz w:val="24"/>
          <w:szCs w:val="28"/>
        </w:rPr>
        <w:t xml:space="preserve">(Magers et al., 2019). </w:t>
      </w:r>
    </w:p>
    <w:p w14:paraId="257F1345" w14:textId="4FB97F0D" w:rsidR="00FB36D4" w:rsidRPr="00C03CB5" w:rsidRDefault="00FF78FB" w:rsidP="00C03CB5">
      <w:pPr>
        <w:pStyle w:val="ListParagraph"/>
        <w:spacing w:before="240" w:after="240" w:line="360" w:lineRule="auto"/>
        <w:ind w:left="0" w:firstLine="720"/>
        <w:jc w:val="both"/>
        <w:rPr>
          <w:rFonts w:asciiTheme="majorBidi" w:hAnsiTheme="majorBidi" w:cstheme="majorBidi"/>
          <w:b/>
          <w:bCs/>
          <w:i/>
          <w:iCs/>
          <w:color w:val="000000"/>
          <w:sz w:val="28"/>
          <w:szCs w:val="32"/>
        </w:rPr>
      </w:pPr>
      <w:r w:rsidRPr="00BD2DAA">
        <w:rPr>
          <w:rFonts w:asciiTheme="majorBidi" w:hAnsiTheme="majorBidi" w:cstheme="majorBidi"/>
          <w:color w:val="000000"/>
          <w:sz w:val="28"/>
          <w:szCs w:val="32"/>
        </w:rPr>
        <w:t xml:space="preserve">It should be stressed, that there are major ongoing efforts to refine the subgrouping of patients </w:t>
      </w:r>
      <w:proofErr w:type="gramStart"/>
      <w:r w:rsidRPr="00BD2DAA">
        <w:rPr>
          <w:rFonts w:asciiTheme="majorBidi" w:hAnsiTheme="majorBidi" w:cstheme="majorBidi"/>
          <w:color w:val="000000"/>
          <w:sz w:val="28"/>
          <w:szCs w:val="32"/>
        </w:rPr>
        <w:t>in order to</w:t>
      </w:r>
      <w:proofErr w:type="gramEnd"/>
      <w:r w:rsidRPr="00BD2DAA">
        <w:rPr>
          <w:rFonts w:asciiTheme="majorBidi" w:hAnsiTheme="majorBidi" w:cstheme="majorBidi"/>
          <w:color w:val="000000"/>
          <w:sz w:val="28"/>
          <w:szCs w:val="32"/>
        </w:rPr>
        <w:t xml:space="preserve"> better predict the most suitable treatment for a given patient. In this pursuit, five new distinct MIBC subtypes (luminal-papillary, luminal infiltrated, luminal, basal/squamous, and neuronal) have been identified. These subtypes do not necessarily reflect the h</w:t>
      </w:r>
      <w:r>
        <w:rPr>
          <w:rFonts w:asciiTheme="majorBidi" w:hAnsiTheme="majorBidi" w:cstheme="majorBidi"/>
          <w:color w:val="000000"/>
          <w:sz w:val="28"/>
          <w:szCs w:val="32"/>
        </w:rPr>
        <w:t xml:space="preserve">istopathological appearance of </w:t>
      </w:r>
      <w:r w:rsidR="00FA503B" w:rsidRPr="00BD2DAA">
        <w:rPr>
          <w:rFonts w:asciiTheme="majorBidi" w:hAnsiTheme="majorBidi" w:cstheme="majorBidi"/>
          <w:color w:val="000000"/>
          <w:sz w:val="28"/>
          <w:szCs w:val="32"/>
        </w:rPr>
        <w:t>BC but</w:t>
      </w:r>
      <w:r w:rsidRPr="00BD2DAA">
        <w:rPr>
          <w:rFonts w:asciiTheme="majorBidi" w:hAnsiTheme="majorBidi" w:cstheme="majorBidi"/>
          <w:color w:val="000000"/>
          <w:sz w:val="28"/>
          <w:szCs w:val="32"/>
        </w:rPr>
        <w:t xml:space="preserve"> are rather associated with specific pathway alterations and other biological features</w:t>
      </w:r>
      <w:r>
        <w:rPr>
          <w:rFonts w:asciiTheme="majorBidi" w:hAnsiTheme="majorBidi" w:cstheme="majorBidi"/>
          <w:color w:val="000000"/>
          <w:sz w:val="28"/>
          <w:szCs w:val="32"/>
        </w:rPr>
        <w:t xml:space="preserve"> </w:t>
      </w:r>
      <w:r w:rsidRPr="00BD2DAA">
        <w:rPr>
          <w:rFonts w:asciiTheme="majorBidi" w:hAnsiTheme="majorBidi" w:cstheme="majorBidi"/>
          <w:b/>
          <w:bCs/>
          <w:i/>
          <w:iCs/>
          <w:color w:val="000000"/>
          <w:sz w:val="28"/>
          <w:szCs w:val="32"/>
        </w:rPr>
        <w:t>(</w:t>
      </w:r>
      <w:r w:rsidRPr="00FF78FB">
        <w:rPr>
          <w:rFonts w:asciiTheme="majorBidi" w:hAnsiTheme="majorBidi" w:cstheme="majorBidi"/>
          <w:b/>
          <w:bCs/>
          <w:i/>
          <w:iCs/>
          <w:color w:val="000000"/>
          <w:sz w:val="28"/>
          <w:szCs w:val="32"/>
        </w:rPr>
        <w:t>Magers</w:t>
      </w:r>
      <w:r w:rsidRPr="00BD2DAA">
        <w:rPr>
          <w:rFonts w:asciiTheme="majorBidi" w:hAnsiTheme="majorBidi" w:cstheme="majorBidi"/>
          <w:b/>
          <w:bCs/>
          <w:i/>
          <w:iCs/>
          <w:color w:val="000000"/>
          <w:sz w:val="28"/>
          <w:szCs w:val="32"/>
        </w:rPr>
        <w:t xml:space="preserve"> et al., 2019). </w:t>
      </w:r>
    </w:p>
    <w:p w14:paraId="17130D91" w14:textId="77777777" w:rsidR="00A81B9E" w:rsidRDefault="00C03CB5" w:rsidP="00A81B9E">
      <w:pPr>
        <w:autoSpaceDE w:val="0"/>
        <w:autoSpaceDN w:val="0"/>
        <w:adjustRightInd w:val="0"/>
        <w:ind w:firstLine="0"/>
        <w:rPr>
          <w:rFonts w:ascii="Times New Roman" w:hAnsi="Times New Roman" w:cs="Times New Roman"/>
          <w:b/>
          <w:bCs/>
          <w:sz w:val="32"/>
          <w:szCs w:val="32"/>
        </w:rPr>
      </w:pPr>
      <w:r>
        <w:rPr>
          <w:rFonts w:ascii="Times New Roman" w:hAnsi="Times New Roman" w:cs="Times New Roman"/>
          <w:b/>
          <w:bCs/>
          <w:sz w:val="32"/>
          <w:szCs w:val="32"/>
        </w:rPr>
        <w:t>3-</w:t>
      </w:r>
      <w:r w:rsidR="00A81B9E" w:rsidRPr="00A81B9E">
        <w:rPr>
          <w:rFonts w:ascii="Times New Roman" w:hAnsi="Times New Roman" w:cs="Times New Roman"/>
          <w:b/>
          <w:bCs/>
          <w:sz w:val="32"/>
          <w:szCs w:val="32"/>
        </w:rPr>
        <w:t>Grading:</w:t>
      </w:r>
    </w:p>
    <w:p w14:paraId="50FC42CD" w14:textId="77777777" w:rsidR="00FF78FB" w:rsidRPr="00BD2DAA" w:rsidRDefault="00FF78FB" w:rsidP="00FF78FB">
      <w:pPr>
        <w:spacing w:before="240" w:after="240"/>
        <w:rPr>
          <w:rFonts w:asciiTheme="majorBidi" w:hAnsiTheme="majorBidi" w:cstheme="majorBidi"/>
          <w:color w:val="000000"/>
          <w:sz w:val="28"/>
          <w:szCs w:val="28"/>
        </w:rPr>
      </w:pPr>
      <w:r w:rsidRPr="00BD2DAA">
        <w:rPr>
          <w:rFonts w:asciiTheme="majorBidi" w:hAnsiTheme="majorBidi" w:cstheme="majorBidi"/>
          <w:color w:val="000000"/>
          <w:sz w:val="28"/>
          <w:szCs w:val="28"/>
        </w:rPr>
        <w:t xml:space="preserve">The tumor is also given a histologic grade based on the degree of cellular atypia, growth pattern, and mitotic activity. The heterogeneous behavior of non-muscle invasive bladder tumors is main reason for the importance of grading in clinical decision-making </w:t>
      </w:r>
      <w:r w:rsidRPr="00BD2DAA">
        <w:rPr>
          <w:rFonts w:asciiTheme="majorBidi" w:hAnsiTheme="majorBidi" w:cstheme="majorBidi"/>
          <w:b/>
          <w:bCs/>
          <w:i/>
          <w:iCs/>
          <w:color w:val="000000"/>
          <w:sz w:val="28"/>
          <w:szCs w:val="32"/>
        </w:rPr>
        <w:t>(Compérat et al., 2018).</w:t>
      </w:r>
      <w:r w:rsidRPr="00BD2DAA">
        <w:rPr>
          <w:rFonts w:asciiTheme="majorBidi" w:hAnsiTheme="majorBidi" w:cstheme="majorBidi"/>
          <w:color w:val="000000"/>
          <w:sz w:val="28"/>
          <w:szCs w:val="28"/>
        </w:rPr>
        <w:t xml:space="preserve"> </w:t>
      </w:r>
    </w:p>
    <w:p w14:paraId="789B851E" w14:textId="206F22F9" w:rsidR="00FF78FB" w:rsidRDefault="00FF78FB" w:rsidP="00FF78FB">
      <w:pPr>
        <w:spacing w:before="240" w:after="240"/>
        <w:rPr>
          <w:rFonts w:asciiTheme="majorBidi" w:hAnsiTheme="majorBidi" w:cstheme="majorBidi"/>
          <w:color w:val="000000"/>
          <w:sz w:val="28"/>
          <w:szCs w:val="28"/>
        </w:rPr>
      </w:pPr>
      <w:r w:rsidRPr="00BD2DAA">
        <w:rPr>
          <w:rFonts w:asciiTheme="majorBidi" w:hAnsiTheme="majorBidi" w:cstheme="majorBidi"/>
          <w:color w:val="000000"/>
          <w:sz w:val="28"/>
          <w:szCs w:val="28"/>
        </w:rPr>
        <w:lastRenderedPageBreak/>
        <w:t>The most frequently used grading system is the WHO/</w:t>
      </w:r>
      <w:bookmarkStart w:id="14" w:name="_Hlk71752580"/>
      <w:r w:rsidRPr="00BD2DAA">
        <w:rPr>
          <w:rFonts w:asciiTheme="majorBidi" w:hAnsiTheme="majorBidi" w:cstheme="majorBidi"/>
          <w:color w:val="000000"/>
          <w:sz w:val="28"/>
          <w:szCs w:val="28"/>
        </w:rPr>
        <w:t>ISUP 2004/2016 (International Society of Urological Pathology</w:t>
      </w:r>
      <w:bookmarkEnd w:id="14"/>
      <w:r w:rsidRPr="00BD2DAA">
        <w:rPr>
          <w:rFonts w:asciiTheme="majorBidi" w:hAnsiTheme="majorBidi" w:cstheme="majorBidi"/>
          <w:color w:val="000000"/>
          <w:sz w:val="28"/>
          <w:szCs w:val="28"/>
        </w:rPr>
        <w:t xml:space="preserve">) grading system first proposed in </w:t>
      </w:r>
      <w:r w:rsidR="00551ED1" w:rsidRPr="00BD2DAA">
        <w:rPr>
          <w:rFonts w:asciiTheme="majorBidi" w:hAnsiTheme="majorBidi" w:cstheme="majorBidi"/>
          <w:color w:val="000000"/>
          <w:sz w:val="28"/>
          <w:szCs w:val="28"/>
        </w:rPr>
        <w:t>1998 and</w:t>
      </w:r>
      <w:r w:rsidRPr="00BD2DAA">
        <w:rPr>
          <w:rFonts w:asciiTheme="majorBidi" w:hAnsiTheme="majorBidi" w:cstheme="majorBidi"/>
          <w:color w:val="000000"/>
          <w:sz w:val="28"/>
          <w:szCs w:val="28"/>
        </w:rPr>
        <w:t xml:space="preserve"> updated in 2004 and 2016. The </w:t>
      </w:r>
      <w:bookmarkStart w:id="15" w:name="_Hlk71752615"/>
      <w:r w:rsidRPr="00BD2DAA">
        <w:rPr>
          <w:rFonts w:asciiTheme="majorBidi" w:hAnsiTheme="majorBidi" w:cstheme="majorBidi"/>
          <w:color w:val="000000"/>
          <w:sz w:val="28"/>
          <w:szCs w:val="28"/>
        </w:rPr>
        <w:t>WHO</w:t>
      </w:r>
      <w:bookmarkEnd w:id="15"/>
      <w:r w:rsidRPr="00BD2DAA">
        <w:rPr>
          <w:rFonts w:asciiTheme="majorBidi" w:hAnsiTheme="majorBidi" w:cstheme="majorBidi"/>
          <w:color w:val="000000"/>
          <w:sz w:val="28"/>
          <w:szCs w:val="28"/>
        </w:rPr>
        <w:t xml:space="preserve">/ISUP system introduced the </w:t>
      </w:r>
      <w:bookmarkStart w:id="16" w:name="_Hlk71752652"/>
      <w:r>
        <w:rPr>
          <w:rFonts w:asciiTheme="majorBidi" w:hAnsiTheme="majorBidi" w:cstheme="majorBidi"/>
          <w:color w:val="000000"/>
          <w:sz w:val="28"/>
          <w:szCs w:val="28"/>
        </w:rPr>
        <w:t>p</w:t>
      </w:r>
      <w:r w:rsidRPr="0082265B">
        <w:rPr>
          <w:rFonts w:asciiTheme="majorBidi" w:hAnsiTheme="majorBidi" w:cstheme="majorBidi"/>
          <w:color w:val="000000"/>
          <w:sz w:val="28"/>
          <w:szCs w:val="28"/>
        </w:rPr>
        <w:t xml:space="preserve">apillary urothelial neoplasm of low malignant potential </w:t>
      </w:r>
      <w:r>
        <w:rPr>
          <w:rFonts w:asciiTheme="majorBidi" w:hAnsiTheme="majorBidi" w:cstheme="majorBidi"/>
          <w:color w:val="000000"/>
          <w:sz w:val="28"/>
          <w:szCs w:val="28"/>
        </w:rPr>
        <w:t>(</w:t>
      </w:r>
      <w:r w:rsidRPr="00BD2DAA">
        <w:rPr>
          <w:rFonts w:asciiTheme="majorBidi" w:hAnsiTheme="majorBidi" w:cstheme="majorBidi"/>
          <w:color w:val="000000"/>
          <w:sz w:val="28"/>
          <w:szCs w:val="28"/>
        </w:rPr>
        <w:t>PUNLMP</w:t>
      </w:r>
      <w:bookmarkEnd w:id="16"/>
      <w:r>
        <w:rPr>
          <w:rFonts w:asciiTheme="majorBidi" w:hAnsiTheme="majorBidi" w:cstheme="majorBidi"/>
          <w:color w:val="000000"/>
          <w:sz w:val="28"/>
          <w:szCs w:val="28"/>
        </w:rPr>
        <w:t>)</w:t>
      </w:r>
      <w:r w:rsidRPr="00BD2DAA">
        <w:rPr>
          <w:rFonts w:asciiTheme="majorBidi" w:hAnsiTheme="majorBidi" w:cstheme="majorBidi"/>
          <w:color w:val="000000"/>
          <w:sz w:val="28"/>
          <w:szCs w:val="28"/>
        </w:rPr>
        <w:t xml:space="preserve"> category also used in the WHO 1999 system, but differs from the 1973 and 1999 systems by separating tumors into only two </w:t>
      </w:r>
      <w:proofErr w:type="gramStart"/>
      <w:r w:rsidRPr="00BD2DAA">
        <w:rPr>
          <w:rFonts w:asciiTheme="majorBidi" w:hAnsiTheme="majorBidi" w:cstheme="majorBidi"/>
          <w:color w:val="000000"/>
          <w:sz w:val="28"/>
          <w:szCs w:val="28"/>
        </w:rPr>
        <w:t>categories;</w:t>
      </w:r>
      <w:proofErr w:type="gramEnd"/>
      <w:r w:rsidRPr="00BD2DAA">
        <w:rPr>
          <w:rFonts w:asciiTheme="majorBidi" w:hAnsiTheme="majorBidi" w:cstheme="majorBidi"/>
          <w:color w:val="000000"/>
          <w:sz w:val="28"/>
          <w:szCs w:val="28"/>
        </w:rPr>
        <w:t xml:space="preserve"> low grade (LG) and high grade (HG), with “high grade” largely equating to those of grade 2 and 3 in the WHO 1999 system </w:t>
      </w:r>
      <w:r w:rsidRPr="00BD2DAA">
        <w:rPr>
          <w:rFonts w:asciiTheme="majorBidi" w:hAnsiTheme="majorBidi" w:cstheme="majorBidi"/>
          <w:b/>
          <w:bCs/>
          <w:i/>
          <w:iCs/>
          <w:color w:val="000000"/>
          <w:sz w:val="28"/>
          <w:szCs w:val="28"/>
        </w:rPr>
        <w:t>(Soukupet al., 2017)</w:t>
      </w:r>
      <w:r>
        <w:rPr>
          <w:rFonts w:asciiTheme="majorBidi" w:hAnsiTheme="majorBidi" w:cstheme="majorBidi"/>
          <w:color w:val="000000"/>
          <w:sz w:val="28"/>
          <w:szCs w:val="28"/>
        </w:rPr>
        <w:t>.</w:t>
      </w:r>
    </w:p>
    <w:p w14:paraId="014EB727" w14:textId="3010C8A3" w:rsidR="00F0014A" w:rsidRPr="00F0014A" w:rsidRDefault="001B52F0" w:rsidP="00F0014A">
      <w:pPr>
        <w:autoSpaceDE w:val="0"/>
        <w:autoSpaceDN w:val="0"/>
        <w:adjustRightInd w:val="0"/>
        <w:ind w:firstLine="0"/>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59264" behindDoc="0" locked="0" layoutInCell="1" allowOverlap="1" wp14:anchorId="738CC5CF" wp14:editId="7A8D9BA5">
            <wp:simplePos x="0" y="0"/>
            <wp:positionH relativeFrom="margin">
              <wp:align>right</wp:align>
            </wp:positionH>
            <wp:positionV relativeFrom="paragraph">
              <wp:posOffset>462280</wp:posOffset>
            </wp:positionV>
            <wp:extent cx="1713230" cy="3695700"/>
            <wp:effectExtent l="19050" t="0" r="127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8870" t="15993" r="19070" b="13731"/>
                    <a:stretch/>
                  </pic:blipFill>
                  <pic:spPr bwMode="auto">
                    <a:xfrm>
                      <a:off x="0" y="0"/>
                      <a:ext cx="1713230" cy="3695700"/>
                    </a:xfrm>
                    <a:prstGeom prst="rect">
                      <a:avLst/>
                    </a:prstGeom>
                    <a:ln>
                      <a:noFill/>
                    </a:ln>
                    <a:extLst>
                      <a:ext uri="{53640926-AAD7-44D8-BBD7-CCE9431645EC}">
                        <a14:shadowObscured xmlns:a14="http://schemas.microsoft.com/office/drawing/2010/main"/>
                      </a:ext>
                    </a:extLst>
                  </pic:spPr>
                </pic:pic>
              </a:graphicData>
            </a:graphic>
          </wp:anchor>
        </w:drawing>
      </w:r>
      <w:r w:rsidR="00F0014A" w:rsidRPr="00A81B9E">
        <w:rPr>
          <w:rFonts w:ascii="Times New Roman" w:hAnsi="Times New Roman" w:cs="Times New Roman"/>
          <w:b/>
          <w:bCs/>
          <w:sz w:val="28"/>
          <w:szCs w:val="28"/>
        </w:rPr>
        <w:t xml:space="preserve">Table (2): </w:t>
      </w:r>
      <w:bookmarkStart w:id="17" w:name="_Hlk72985176"/>
      <w:r w:rsidR="00F0014A" w:rsidRPr="00A81B9E">
        <w:rPr>
          <w:rFonts w:ascii="Times New Roman" w:hAnsi="Times New Roman" w:cs="Times New Roman"/>
          <w:sz w:val="28"/>
          <w:szCs w:val="28"/>
        </w:rPr>
        <w:t xml:space="preserve">World Health Organization </w:t>
      </w:r>
      <w:bookmarkEnd w:id="17"/>
      <w:r w:rsidR="00F0014A" w:rsidRPr="00A81B9E">
        <w:rPr>
          <w:rFonts w:ascii="Times New Roman" w:hAnsi="Times New Roman" w:cs="Times New Roman"/>
          <w:sz w:val="28"/>
          <w:szCs w:val="28"/>
        </w:rPr>
        <w:t xml:space="preserve">(WHO) grading of urinary </w:t>
      </w:r>
      <w:r w:rsidR="00C4486F" w:rsidRPr="00A81B9E">
        <w:rPr>
          <w:rFonts w:ascii="Times New Roman" w:hAnsi="Times New Roman" w:cs="Times New Roman"/>
          <w:sz w:val="28"/>
          <w:szCs w:val="28"/>
        </w:rPr>
        <w:t>tumors</w:t>
      </w:r>
      <w:r w:rsidR="00F0014A" w:rsidRPr="00A81B9E">
        <w:rPr>
          <w:rFonts w:ascii="Times New Roman" w:hAnsi="Times New Roman" w:cs="Times New Roman"/>
          <w:sz w:val="28"/>
          <w:szCs w:val="28"/>
        </w:rPr>
        <w:t xml:space="preserve"> in 1973 and 2004</w:t>
      </w:r>
      <w:r w:rsidR="00F0014A">
        <w:rPr>
          <w:rFonts w:ascii="Times New Roman" w:hAnsi="Times New Roman" w:cs="Times New Roman"/>
          <w:b/>
          <w:bCs/>
          <w:i/>
          <w:iCs/>
          <w:sz w:val="28"/>
          <w:szCs w:val="28"/>
        </w:rPr>
        <w:t>.</w:t>
      </w:r>
    </w:p>
    <w:tbl>
      <w:tblPr>
        <w:tblStyle w:val="TableGrid"/>
        <w:tblpPr w:leftFromText="180" w:rightFromText="180" w:vertAnchor="text" w:horzAnchor="margin" w:tblpY="35"/>
        <w:tblW w:w="0" w:type="auto"/>
        <w:tblLook w:val="04A0" w:firstRow="1" w:lastRow="0" w:firstColumn="1" w:lastColumn="0" w:noHBand="0" w:noVBand="1"/>
      </w:tblPr>
      <w:tblGrid>
        <w:gridCol w:w="6588"/>
      </w:tblGrid>
      <w:tr w:rsidR="00F0014A" w:rsidRPr="00F0014A" w14:paraId="602D2570" w14:textId="77777777" w:rsidTr="001B52F0">
        <w:trPr>
          <w:trHeight w:val="157"/>
        </w:trPr>
        <w:tc>
          <w:tcPr>
            <w:tcW w:w="6588" w:type="dxa"/>
          </w:tcPr>
          <w:p w14:paraId="43D51255" w14:textId="77777777" w:rsidR="00F0014A" w:rsidRPr="00F0014A" w:rsidRDefault="00F0014A" w:rsidP="00F0014A">
            <w:pPr>
              <w:ind w:firstLine="0"/>
              <w:jc w:val="left"/>
              <w:rPr>
                <w:rFonts w:asciiTheme="majorBidi" w:hAnsiTheme="majorBidi" w:cstheme="majorBidi"/>
                <w:b/>
                <w:bCs/>
                <w:i/>
                <w:iCs/>
                <w:color w:val="000000"/>
                <w:sz w:val="24"/>
                <w:szCs w:val="24"/>
              </w:rPr>
            </w:pPr>
            <w:r w:rsidRPr="00F0014A">
              <w:rPr>
                <w:rFonts w:asciiTheme="majorBidi" w:hAnsiTheme="majorBidi" w:cstheme="majorBidi"/>
                <w:b/>
                <w:bCs/>
                <w:i/>
                <w:iCs/>
                <w:color w:val="000000"/>
                <w:sz w:val="24"/>
                <w:szCs w:val="24"/>
              </w:rPr>
              <w:t>WHO 1973 grading</w:t>
            </w:r>
          </w:p>
        </w:tc>
      </w:tr>
      <w:tr w:rsidR="00F0014A" w:rsidRPr="00F0014A" w14:paraId="50BEF0AB" w14:textId="77777777" w:rsidTr="001B52F0">
        <w:trPr>
          <w:trHeight w:val="157"/>
        </w:trPr>
        <w:tc>
          <w:tcPr>
            <w:tcW w:w="6588" w:type="dxa"/>
          </w:tcPr>
          <w:p w14:paraId="3F0227D5" w14:textId="77777777" w:rsidR="00F0014A" w:rsidRPr="00F0014A" w:rsidRDefault="00F0014A" w:rsidP="00F0014A">
            <w:pPr>
              <w:ind w:firstLine="0"/>
              <w:rPr>
                <w:rFonts w:asciiTheme="majorBidi" w:hAnsiTheme="majorBidi" w:cstheme="majorBidi"/>
                <w:color w:val="000000"/>
                <w:sz w:val="24"/>
                <w:szCs w:val="24"/>
              </w:rPr>
            </w:pPr>
            <w:r w:rsidRPr="00F0014A">
              <w:rPr>
                <w:rFonts w:asciiTheme="majorBidi" w:hAnsiTheme="majorBidi" w:cstheme="majorBidi"/>
                <w:color w:val="000000"/>
                <w:sz w:val="24"/>
                <w:szCs w:val="24"/>
              </w:rPr>
              <w:t>Urothelial papilloma</w:t>
            </w:r>
          </w:p>
        </w:tc>
      </w:tr>
      <w:tr w:rsidR="00F0014A" w:rsidRPr="00F0014A" w14:paraId="1A86FC30" w14:textId="77777777" w:rsidTr="001B52F0">
        <w:trPr>
          <w:trHeight w:val="157"/>
        </w:trPr>
        <w:tc>
          <w:tcPr>
            <w:tcW w:w="6588" w:type="dxa"/>
          </w:tcPr>
          <w:p w14:paraId="4823A53D" w14:textId="77777777" w:rsidR="00F0014A" w:rsidRPr="00F0014A" w:rsidRDefault="00F0014A" w:rsidP="00F0014A">
            <w:pPr>
              <w:ind w:firstLine="0"/>
              <w:rPr>
                <w:rFonts w:asciiTheme="majorBidi" w:hAnsiTheme="majorBidi" w:cstheme="majorBidi"/>
                <w:color w:val="000000"/>
                <w:sz w:val="24"/>
                <w:szCs w:val="24"/>
              </w:rPr>
            </w:pPr>
            <w:r w:rsidRPr="00F0014A">
              <w:rPr>
                <w:rFonts w:asciiTheme="majorBidi" w:hAnsiTheme="majorBidi" w:cstheme="majorBidi"/>
                <w:color w:val="000000"/>
                <w:sz w:val="24"/>
                <w:szCs w:val="24"/>
              </w:rPr>
              <w:t>Grade 1: (G1) Well differentiated</w:t>
            </w:r>
          </w:p>
        </w:tc>
      </w:tr>
      <w:tr w:rsidR="00F0014A" w:rsidRPr="00F0014A" w14:paraId="69A200A1" w14:textId="77777777" w:rsidTr="001B52F0">
        <w:trPr>
          <w:trHeight w:val="157"/>
        </w:trPr>
        <w:tc>
          <w:tcPr>
            <w:tcW w:w="6588" w:type="dxa"/>
          </w:tcPr>
          <w:p w14:paraId="47858DE9" w14:textId="77777777" w:rsidR="00F0014A" w:rsidRPr="00F0014A" w:rsidRDefault="00F0014A" w:rsidP="00F0014A">
            <w:pPr>
              <w:ind w:firstLine="0"/>
              <w:rPr>
                <w:rFonts w:asciiTheme="majorBidi" w:hAnsiTheme="majorBidi" w:cstheme="majorBidi"/>
                <w:color w:val="000000"/>
                <w:sz w:val="24"/>
                <w:szCs w:val="24"/>
              </w:rPr>
            </w:pPr>
            <w:r w:rsidRPr="00F0014A">
              <w:rPr>
                <w:rFonts w:asciiTheme="majorBidi" w:hAnsiTheme="majorBidi" w:cstheme="majorBidi"/>
                <w:color w:val="000000"/>
                <w:sz w:val="24"/>
                <w:szCs w:val="24"/>
              </w:rPr>
              <w:t>Grade 2: (G2) Moderately differentiated</w:t>
            </w:r>
          </w:p>
        </w:tc>
      </w:tr>
      <w:tr w:rsidR="00F0014A" w:rsidRPr="00F0014A" w14:paraId="013A7EA5" w14:textId="77777777" w:rsidTr="001B52F0">
        <w:trPr>
          <w:trHeight w:val="157"/>
        </w:trPr>
        <w:tc>
          <w:tcPr>
            <w:tcW w:w="6588" w:type="dxa"/>
          </w:tcPr>
          <w:p w14:paraId="06FF0A4A" w14:textId="77777777" w:rsidR="00F0014A" w:rsidRPr="00F0014A" w:rsidRDefault="00F0014A" w:rsidP="00F0014A">
            <w:pPr>
              <w:ind w:firstLine="0"/>
              <w:rPr>
                <w:rFonts w:asciiTheme="majorBidi" w:hAnsiTheme="majorBidi" w:cstheme="majorBidi"/>
                <w:color w:val="000000"/>
                <w:sz w:val="24"/>
                <w:szCs w:val="24"/>
              </w:rPr>
            </w:pPr>
            <w:r w:rsidRPr="00F0014A">
              <w:rPr>
                <w:rFonts w:asciiTheme="majorBidi" w:hAnsiTheme="majorBidi" w:cstheme="majorBidi"/>
                <w:color w:val="000000"/>
                <w:sz w:val="24"/>
                <w:szCs w:val="24"/>
              </w:rPr>
              <w:t>Grade 3: (G3) Poorly differentiated</w:t>
            </w:r>
          </w:p>
        </w:tc>
      </w:tr>
      <w:tr w:rsidR="00F0014A" w:rsidRPr="00F0014A" w14:paraId="2E747A6F" w14:textId="77777777" w:rsidTr="001B52F0">
        <w:trPr>
          <w:trHeight w:val="157"/>
        </w:trPr>
        <w:tc>
          <w:tcPr>
            <w:tcW w:w="6588" w:type="dxa"/>
          </w:tcPr>
          <w:p w14:paraId="3C19378A" w14:textId="77777777" w:rsidR="00F0014A" w:rsidRPr="00F0014A" w:rsidRDefault="00F0014A" w:rsidP="00F0014A">
            <w:pPr>
              <w:ind w:firstLine="0"/>
              <w:rPr>
                <w:rFonts w:asciiTheme="majorBidi" w:hAnsiTheme="majorBidi" w:cstheme="majorBidi"/>
                <w:color w:val="000000"/>
                <w:sz w:val="24"/>
                <w:szCs w:val="24"/>
              </w:rPr>
            </w:pPr>
            <w:r w:rsidRPr="00F0014A">
              <w:rPr>
                <w:rFonts w:asciiTheme="majorBidi" w:hAnsiTheme="majorBidi" w:cstheme="majorBidi"/>
                <w:b/>
                <w:bCs/>
                <w:i/>
                <w:iCs/>
                <w:color w:val="000000"/>
                <w:sz w:val="24"/>
                <w:szCs w:val="24"/>
              </w:rPr>
              <w:t>WHO 1999 grading</w:t>
            </w:r>
          </w:p>
        </w:tc>
      </w:tr>
      <w:tr w:rsidR="00F0014A" w:rsidRPr="00F0014A" w14:paraId="4F24DC0E" w14:textId="77777777" w:rsidTr="001B52F0">
        <w:trPr>
          <w:trHeight w:val="157"/>
        </w:trPr>
        <w:tc>
          <w:tcPr>
            <w:tcW w:w="6588" w:type="dxa"/>
          </w:tcPr>
          <w:p w14:paraId="4589B656" w14:textId="77777777" w:rsidR="00F0014A" w:rsidRPr="00F0014A" w:rsidRDefault="00F0014A" w:rsidP="00F0014A">
            <w:pPr>
              <w:ind w:firstLine="0"/>
              <w:rPr>
                <w:rFonts w:asciiTheme="majorBidi" w:hAnsiTheme="majorBidi" w:cstheme="majorBidi"/>
                <w:color w:val="000000"/>
                <w:sz w:val="24"/>
                <w:szCs w:val="24"/>
              </w:rPr>
            </w:pPr>
            <w:r w:rsidRPr="00F0014A">
              <w:rPr>
                <w:rFonts w:asciiTheme="majorBidi" w:hAnsiTheme="majorBidi" w:cstheme="majorBidi"/>
                <w:color w:val="000000"/>
                <w:sz w:val="24"/>
                <w:szCs w:val="24"/>
              </w:rPr>
              <w:t>Urothelial papilloma</w:t>
            </w:r>
          </w:p>
        </w:tc>
      </w:tr>
      <w:tr w:rsidR="00F0014A" w:rsidRPr="00F0014A" w14:paraId="26C171F1" w14:textId="77777777" w:rsidTr="001B52F0">
        <w:trPr>
          <w:trHeight w:val="157"/>
        </w:trPr>
        <w:tc>
          <w:tcPr>
            <w:tcW w:w="6588" w:type="dxa"/>
          </w:tcPr>
          <w:p w14:paraId="541AE49E" w14:textId="77777777" w:rsidR="00F0014A" w:rsidRPr="00F0014A" w:rsidRDefault="00F0014A" w:rsidP="00F0014A">
            <w:pPr>
              <w:ind w:firstLine="0"/>
              <w:rPr>
                <w:rFonts w:asciiTheme="majorBidi" w:hAnsiTheme="majorBidi" w:cstheme="majorBidi"/>
                <w:color w:val="000000"/>
                <w:sz w:val="24"/>
                <w:szCs w:val="24"/>
              </w:rPr>
            </w:pPr>
            <w:r w:rsidRPr="00F0014A">
              <w:rPr>
                <w:rFonts w:asciiTheme="majorBidi" w:hAnsiTheme="majorBidi" w:cstheme="majorBidi"/>
                <w:color w:val="000000"/>
                <w:sz w:val="24"/>
                <w:szCs w:val="24"/>
              </w:rPr>
              <w:t>Papillary urothelial neoplasm of low malignant potential (PUNLMP)</w:t>
            </w:r>
          </w:p>
        </w:tc>
      </w:tr>
      <w:tr w:rsidR="00F0014A" w:rsidRPr="00F0014A" w14:paraId="4CDB8DA4" w14:textId="77777777" w:rsidTr="001B52F0">
        <w:trPr>
          <w:trHeight w:val="157"/>
        </w:trPr>
        <w:tc>
          <w:tcPr>
            <w:tcW w:w="6588" w:type="dxa"/>
          </w:tcPr>
          <w:p w14:paraId="663CFDA5" w14:textId="77777777" w:rsidR="00F0014A" w:rsidRPr="00F0014A" w:rsidRDefault="00F0014A" w:rsidP="00F0014A">
            <w:pPr>
              <w:ind w:firstLine="0"/>
              <w:rPr>
                <w:rFonts w:asciiTheme="majorBidi" w:hAnsiTheme="majorBidi" w:cstheme="majorBidi"/>
                <w:color w:val="000000"/>
                <w:sz w:val="24"/>
                <w:szCs w:val="24"/>
              </w:rPr>
            </w:pPr>
            <w:r w:rsidRPr="00F0014A">
              <w:rPr>
                <w:rFonts w:asciiTheme="majorBidi" w:hAnsiTheme="majorBidi" w:cstheme="majorBidi"/>
                <w:color w:val="000000"/>
                <w:sz w:val="24"/>
                <w:szCs w:val="24"/>
              </w:rPr>
              <w:t>Low-grade urothelial carcinoma, Grade 1</w:t>
            </w:r>
          </w:p>
        </w:tc>
      </w:tr>
      <w:tr w:rsidR="00F0014A" w:rsidRPr="00F0014A" w14:paraId="26643F4E" w14:textId="77777777" w:rsidTr="001B52F0">
        <w:trPr>
          <w:trHeight w:val="157"/>
        </w:trPr>
        <w:tc>
          <w:tcPr>
            <w:tcW w:w="6588" w:type="dxa"/>
          </w:tcPr>
          <w:p w14:paraId="1DD5993B" w14:textId="77777777" w:rsidR="00F0014A" w:rsidRPr="00F0014A" w:rsidRDefault="00F0014A" w:rsidP="00F0014A">
            <w:pPr>
              <w:ind w:firstLine="0"/>
              <w:rPr>
                <w:rFonts w:asciiTheme="majorBidi" w:hAnsiTheme="majorBidi" w:cstheme="majorBidi"/>
                <w:color w:val="000000"/>
                <w:sz w:val="24"/>
                <w:szCs w:val="24"/>
              </w:rPr>
            </w:pPr>
            <w:r w:rsidRPr="00F0014A">
              <w:rPr>
                <w:rFonts w:asciiTheme="majorBidi" w:hAnsiTheme="majorBidi" w:cstheme="majorBidi"/>
                <w:color w:val="000000"/>
                <w:sz w:val="24"/>
                <w:szCs w:val="24"/>
              </w:rPr>
              <w:t>High-grade urothelial carcinoma, Grade 2</w:t>
            </w:r>
          </w:p>
        </w:tc>
      </w:tr>
      <w:tr w:rsidR="00F0014A" w:rsidRPr="00F0014A" w14:paraId="3F16F001" w14:textId="77777777" w:rsidTr="001B52F0">
        <w:trPr>
          <w:trHeight w:val="157"/>
        </w:trPr>
        <w:tc>
          <w:tcPr>
            <w:tcW w:w="6588" w:type="dxa"/>
          </w:tcPr>
          <w:p w14:paraId="6EDD6920" w14:textId="77777777" w:rsidR="00F0014A" w:rsidRPr="00F0014A" w:rsidRDefault="00F0014A" w:rsidP="00F0014A">
            <w:pPr>
              <w:ind w:firstLine="0"/>
              <w:rPr>
                <w:rFonts w:asciiTheme="majorBidi" w:hAnsiTheme="majorBidi" w:cstheme="majorBidi"/>
                <w:b/>
                <w:bCs/>
                <w:i/>
                <w:iCs/>
                <w:color w:val="000000"/>
                <w:sz w:val="24"/>
                <w:szCs w:val="24"/>
              </w:rPr>
            </w:pPr>
            <w:r w:rsidRPr="00F0014A">
              <w:rPr>
                <w:rFonts w:asciiTheme="majorBidi" w:hAnsiTheme="majorBidi" w:cstheme="majorBidi"/>
                <w:b/>
                <w:bCs/>
                <w:i/>
                <w:iCs/>
                <w:color w:val="000000"/>
                <w:sz w:val="24"/>
                <w:szCs w:val="24"/>
              </w:rPr>
              <w:t>WHO 2004/2016 grading</w:t>
            </w:r>
          </w:p>
        </w:tc>
      </w:tr>
      <w:tr w:rsidR="00F0014A" w:rsidRPr="00F0014A" w14:paraId="63C99A87" w14:textId="77777777" w:rsidTr="001B52F0">
        <w:trPr>
          <w:trHeight w:val="157"/>
        </w:trPr>
        <w:tc>
          <w:tcPr>
            <w:tcW w:w="6588" w:type="dxa"/>
          </w:tcPr>
          <w:p w14:paraId="6E02281C" w14:textId="77777777" w:rsidR="00F0014A" w:rsidRPr="00F0014A" w:rsidRDefault="00F0014A" w:rsidP="00F0014A">
            <w:pPr>
              <w:ind w:firstLine="0"/>
              <w:rPr>
                <w:rFonts w:asciiTheme="majorBidi" w:hAnsiTheme="majorBidi" w:cstheme="majorBidi"/>
                <w:color w:val="000000"/>
                <w:sz w:val="24"/>
                <w:szCs w:val="24"/>
              </w:rPr>
            </w:pPr>
            <w:r w:rsidRPr="00F0014A">
              <w:rPr>
                <w:rFonts w:asciiTheme="majorBidi" w:hAnsiTheme="majorBidi" w:cstheme="majorBidi"/>
                <w:color w:val="000000"/>
                <w:sz w:val="24"/>
                <w:szCs w:val="24"/>
              </w:rPr>
              <w:t>Urothelial papilloma</w:t>
            </w:r>
          </w:p>
        </w:tc>
      </w:tr>
      <w:tr w:rsidR="00F0014A" w:rsidRPr="00F0014A" w14:paraId="7890B675" w14:textId="77777777" w:rsidTr="001B52F0">
        <w:trPr>
          <w:trHeight w:val="157"/>
        </w:trPr>
        <w:tc>
          <w:tcPr>
            <w:tcW w:w="6588" w:type="dxa"/>
          </w:tcPr>
          <w:p w14:paraId="483A1DA9" w14:textId="77777777" w:rsidR="00F0014A" w:rsidRPr="00F0014A" w:rsidRDefault="00F0014A" w:rsidP="00F0014A">
            <w:pPr>
              <w:ind w:firstLine="0"/>
              <w:rPr>
                <w:rFonts w:asciiTheme="majorBidi" w:hAnsiTheme="majorBidi" w:cstheme="majorBidi"/>
                <w:color w:val="000000"/>
                <w:sz w:val="24"/>
                <w:szCs w:val="24"/>
              </w:rPr>
            </w:pPr>
            <w:r w:rsidRPr="00F0014A">
              <w:rPr>
                <w:rFonts w:asciiTheme="majorBidi" w:hAnsiTheme="majorBidi" w:cstheme="majorBidi"/>
                <w:color w:val="000000"/>
                <w:sz w:val="24"/>
                <w:szCs w:val="24"/>
              </w:rPr>
              <w:t>Papillary urothelial neoplasm of low malignant potential (PUNLMP)</w:t>
            </w:r>
          </w:p>
        </w:tc>
      </w:tr>
      <w:tr w:rsidR="00F0014A" w:rsidRPr="00F0014A" w14:paraId="43952BBB" w14:textId="77777777" w:rsidTr="001B52F0">
        <w:trPr>
          <w:trHeight w:val="412"/>
        </w:trPr>
        <w:tc>
          <w:tcPr>
            <w:tcW w:w="6588" w:type="dxa"/>
          </w:tcPr>
          <w:p w14:paraId="62B48D14" w14:textId="77777777" w:rsidR="00F0014A" w:rsidRPr="00F0014A" w:rsidRDefault="00F0014A" w:rsidP="00F0014A">
            <w:pPr>
              <w:ind w:firstLine="0"/>
              <w:rPr>
                <w:rFonts w:asciiTheme="majorBidi" w:hAnsiTheme="majorBidi" w:cstheme="majorBidi"/>
                <w:color w:val="000000"/>
                <w:sz w:val="24"/>
                <w:szCs w:val="24"/>
              </w:rPr>
            </w:pPr>
            <w:r w:rsidRPr="00F0014A">
              <w:rPr>
                <w:rFonts w:asciiTheme="majorBidi" w:hAnsiTheme="majorBidi" w:cstheme="majorBidi"/>
                <w:color w:val="000000"/>
                <w:sz w:val="24"/>
                <w:szCs w:val="24"/>
              </w:rPr>
              <w:t>Low-grade papillary urothelial carcinoma</w:t>
            </w:r>
          </w:p>
        </w:tc>
      </w:tr>
      <w:tr w:rsidR="00F0014A" w:rsidRPr="00F0014A" w14:paraId="4F7429AE" w14:textId="77777777" w:rsidTr="001B52F0">
        <w:trPr>
          <w:trHeight w:val="349"/>
        </w:trPr>
        <w:tc>
          <w:tcPr>
            <w:tcW w:w="6588" w:type="dxa"/>
          </w:tcPr>
          <w:p w14:paraId="4CBB7B40" w14:textId="77777777" w:rsidR="00F0014A" w:rsidRPr="00F0014A" w:rsidRDefault="00F0014A" w:rsidP="00F0014A">
            <w:pPr>
              <w:ind w:firstLine="0"/>
              <w:rPr>
                <w:rFonts w:asciiTheme="majorBidi" w:hAnsiTheme="majorBidi" w:cstheme="majorBidi"/>
                <w:color w:val="000000"/>
                <w:sz w:val="24"/>
                <w:szCs w:val="24"/>
              </w:rPr>
            </w:pPr>
            <w:r w:rsidRPr="00F0014A">
              <w:rPr>
                <w:rFonts w:asciiTheme="majorBidi" w:hAnsiTheme="majorBidi" w:cstheme="majorBidi"/>
                <w:color w:val="000000"/>
                <w:sz w:val="24"/>
                <w:szCs w:val="24"/>
              </w:rPr>
              <w:t>High-grade papillary urothelial carcinoma</w:t>
            </w:r>
          </w:p>
        </w:tc>
      </w:tr>
    </w:tbl>
    <w:p w14:paraId="366FD379" w14:textId="77777777" w:rsidR="00FF78FB" w:rsidRPr="00A81B9E" w:rsidRDefault="00FF78FB" w:rsidP="00A81B9E">
      <w:pPr>
        <w:autoSpaceDE w:val="0"/>
        <w:autoSpaceDN w:val="0"/>
        <w:adjustRightInd w:val="0"/>
        <w:ind w:firstLine="0"/>
        <w:rPr>
          <w:rFonts w:ascii="Times New Roman" w:hAnsi="Times New Roman" w:cs="Times New Roman"/>
          <w:b/>
          <w:bCs/>
          <w:sz w:val="32"/>
          <w:szCs w:val="32"/>
        </w:rPr>
      </w:pPr>
    </w:p>
    <w:p w14:paraId="7B10ABEF" w14:textId="77777777" w:rsidR="00C40320" w:rsidRDefault="00C40320" w:rsidP="00A646C9">
      <w:pPr>
        <w:pStyle w:val="Default"/>
      </w:pPr>
    </w:p>
    <w:p w14:paraId="49A0EE01" w14:textId="77777777" w:rsidR="00C40320" w:rsidRDefault="00C40320" w:rsidP="00A646C9">
      <w:pPr>
        <w:pStyle w:val="Default"/>
      </w:pPr>
    </w:p>
    <w:p w14:paraId="3DD771B5" w14:textId="1A4BF2C9" w:rsidR="00C40320" w:rsidRDefault="00C40320" w:rsidP="00A646C9">
      <w:pPr>
        <w:pStyle w:val="Default"/>
      </w:pPr>
    </w:p>
    <w:p w14:paraId="6EADD36C" w14:textId="1D94BE3D" w:rsidR="00FA503B" w:rsidRDefault="00FA503B" w:rsidP="00A646C9">
      <w:pPr>
        <w:pStyle w:val="Default"/>
      </w:pPr>
    </w:p>
    <w:p w14:paraId="6E52E221" w14:textId="7CBA0020" w:rsidR="00FA503B" w:rsidRDefault="00FA503B" w:rsidP="00A646C9">
      <w:pPr>
        <w:pStyle w:val="Default"/>
      </w:pPr>
    </w:p>
    <w:p w14:paraId="06A3BA73" w14:textId="523473C4" w:rsidR="00FA503B" w:rsidRDefault="00FA503B" w:rsidP="00A646C9">
      <w:pPr>
        <w:pStyle w:val="Default"/>
      </w:pPr>
    </w:p>
    <w:p w14:paraId="414A0390" w14:textId="4F779197" w:rsidR="00FA503B" w:rsidRDefault="00FA503B" w:rsidP="00A646C9">
      <w:pPr>
        <w:pStyle w:val="Default"/>
      </w:pPr>
    </w:p>
    <w:p w14:paraId="3919255F" w14:textId="14BB8D59" w:rsidR="00FA503B" w:rsidRDefault="00FA503B" w:rsidP="00A646C9">
      <w:pPr>
        <w:pStyle w:val="Default"/>
      </w:pPr>
    </w:p>
    <w:p w14:paraId="7A2A4F05" w14:textId="44265BCB" w:rsidR="00FA503B" w:rsidRDefault="00FA503B" w:rsidP="00A646C9">
      <w:pPr>
        <w:pStyle w:val="Default"/>
      </w:pPr>
    </w:p>
    <w:p w14:paraId="0E9C40A8" w14:textId="1B693291" w:rsidR="00FA503B" w:rsidRDefault="00FA503B" w:rsidP="00A646C9">
      <w:pPr>
        <w:pStyle w:val="Default"/>
      </w:pPr>
    </w:p>
    <w:p w14:paraId="2DC5ADBB" w14:textId="77777777" w:rsidR="00FA503B" w:rsidRDefault="00FA503B" w:rsidP="00A646C9">
      <w:pPr>
        <w:pStyle w:val="Default"/>
      </w:pPr>
    </w:p>
    <w:p w14:paraId="0D320253" w14:textId="77777777" w:rsidR="00A646C9" w:rsidRPr="00803C02" w:rsidRDefault="00A646C9" w:rsidP="00A646C9">
      <w:pPr>
        <w:autoSpaceDE w:val="0"/>
        <w:autoSpaceDN w:val="0"/>
        <w:adjustRightInd w:val="0"/>
        <w:ind w:firstLine="0"/>
        <w:rPr>
          <w:rFonts w:ascii="Times New Roman" w:hAnsi="Times New Roman" w:cs="Times New Roman"/>
          <w:b/>
          <w:bCs/>
          <w:sz w:val="36"/>
          <w:szCs w:val="36"/>
          <w:u w:val="single"/>
        </w:rPr>
      </w:pPr>
      <w:r w:rsidRPr="00803C02">
        <w:rPr>
          <w:rFonts w:ascii="Times New Roman" w:hAnsi="Times New Roman" w:cs="Times New Roman"/>
          <w:b/>
          <w:bCs/>
          <w:sz w:val="36"/>
          <w:szCs w:val="36"/>
          <w:u w:val="single"/>
        </w:rPr>
        <w:lastRenderedPageBreak/>
        <w:t xml:space="preserve">Diagnosis of Urinary bladder cancer </w:t>
      </w:r>
    </w:p>
    <w:p w14:paraId="528FEE43" w14:textId="77777777" w:rsidR="00A646C9" w:rsidRDefault="00A646C9" w:rsidP="002E487D">
      <w:pPr>
        <w:pStyle w:val="Default"/>
        <w:numPr>
          <w:ilvl w:val="0"/>
          <w:numId w:val="3"/>
        </w:numPr>
        <w:spacing w:before="240"/>
        <w:rPr>
          <w:rFonts w:ascii="Times New Roman" w:hAnsi="Times New Roman" w:cs="Times New Roman"/>
          <w:b/>
          <w:bCs/>
          <w:sz w:val="32"/>
          <w:szCs w:val="32"/>
        </w:rPr>
      </w:pPr>
      <w:r w:rsidRPr="00803C02">
        <w:rPr>
          <w:rFonts w:ascii="Times New Roman" w:hAnsi="Times New Roman" w:cs="Times New Roman"/>
          <w:b/>
          <w:bCs/>
          <w:sz w:val="32"/>
          <w:szCs w:val="32"/>
        </w:rPr>
        <w:t>Clinical picture</w:t>
      </w:r>
      <w:r w:rsidR="00803C02">
        <w:rPr>
          <w:rFonts w:ascii="Times New Roman" w:hAnsi="Times New Roman" w:cs="Times New Roman"/>
          <w:b/>
          <w:bCs/>
          <w:sz w:val="32"/>
          <w:szCs w:val="32"/>
        </w:rPr>
        <w:t>:</w:t>
      </w:r>
    </w:p>
    <w:p w14:paraId="76B45E72" w14:textId="77777777" w:rsidR="002E487D" w:rsidRPr="00FA503B" w:rsidRDefault="002E487D" w:rsidP="002E487D">
      <w:pPr>
        <w:pStyle w:val="Default"/>
        <w:spacing w:before="240"/>
        <w:ind w:left="360"/>
        <w:rPr>
          <w:rFonts w:ascii="Times New Roman" w:hAnsi="Times New Roman" w:cs="Times New Roman"/>
          <w:b/>
          <w:bCs/>
          <w:sz w:val="10"/>
          <w:szCs w:val="10"/>
        </w:rPr>
      </w:pPr>
    </w:p>
    <w:p w14:paraId="00984104" w14:textId="77777777" w:rsidR="00803C02" w:rsidRDefault="00803C02" w:rsidP="00803C02">
      <w:pPr>
        <w:spacing w:after="120"/>
        <w:rPr>
          <w:rFonts w:asciiTheme="majorBidi" w:hAnsiTheme="majorBidi" w:cstheme="majorBidi"/>
          <w:b/>
          <w:bCs/>
          <w:i/>
          <w:iCs/>
          <w:sz w:val="28"/>
          <w:szCs w:val="28"/>
        </w:rPr>
      </w:pPr>
      <w:r w:rsidRPr="00BD2DAA">
        <w:rPr>
          <w:rFonts w:asciiTheme="majorBidi" w:hAnsiTheme="majorBidi" w:cstheme="majorBidi"/>
          <w:sz w:val="28"/>
          <w:szCs w:val="28"/>
        </w:rPr>
        <w:t xml:space="preserve">Bladder cancer commonly presents with intermittent or persistent microscopic or macroscopic haematuria; rates may be as high as </w:t>
      </w:r>
      <w:r w:rsidRPr="00485CDA">
        <w:rPr>
          <w:rFonts w:asciiTheme="majorBidi" w:hAnsiTheme="majorBidi" w:cstheme="majorBidi"/>
          <w:sz w:val="28"/>
          <w:szCs w:val="28"/>
        </w:rPr>
        <w:t>78.3%</w:t>
      </w:r>
      <w:r w:rsidRPr="00BD2DAA">
        <w:rPr>
          <w:rFonts w:asciiTheme="majorBidi" w:hAnsiTheme="majorBidi" w:cstheme="majorBidi"/>
          <w:sz w:val="28"/>
          <w:szCs w:val="28"/>
        </w:rPr>
        <w:t xml:space="preserve"> in patients with macroscopic haematuria and </w:t>
      </w:r>
      <w:r w:rsidRPr="00485CDA">
        <w:rPr>
          <w:rFonts w:asciiTheme="majorBidi" w:hAnsiTheme="majorBidi" w:cstheme="majorBidi"/>
          <w:sz w:val="28"/>
          <w:szCs w:val="28"/>
        </w:rPr>
        <w:t>13.7%</w:t>
      </w:r>
      <w:r w:rsidRPr="00BD2DAA">
        <w:rPr>
          <w:rFonts w:asciiTheme="majorBidi" w:hAnsiTheme="majorBidi" w:cstheme="majorBidi"/>
          <w:sz w:val="28"/>
          <w:szCs w:val="28"/>
        </w:rPr>
        <w:t xml:space="preserve"> in patients with</w:t>
      </w:r>
      <w:r w:rsidRPr="00BD2DAA">
        <w:rPr>
          <w:rFonts w:asciiTheme="majorBidi" w:hAnsiTheme="majorBidi" w:cstheme="majorBidi"/>
          <w:sz w:val="28"/>
          <w:szCs w:val="28"/>
        </w:rPr>
        <w:br/>
        <w:t>microscopic haematuria</w:t>
      </w:r>
      <w:r w:rsidRPr="00BD2DAA">
        <w:rPr>
          <w:rFonts w:asciiTheme="majorBidi" w:hAnsiTheme="majorBidi" w:cstheme="majorBidi"/>
          <w:b/>
          <w:bCs/>
          <w:i/>
          <w:iCs/>
          <w:color w:val="000000"/>
          <w:sz w:val="28"/>
          <w:szCs w:val="28"/>
        </w:rPr>
        <w:t xml:space="preserve"> </w:t>
      </w:r>
      <w:r w:rsidRPr="00485CDA">
        <w:rPr>
          <w:rFonts w:asciiTheme="majorBidi" w:hAnsiTheme="majorBidi" w:cstheme="majorBidi"/>
          <w:b/>
          <w:bCs/>
          <w:i/>
          <w:iCs/>
          <w:sz w:val="28"/>
          <w:szCs w:val="28"/>
        </w:rPr>
        <w:t>(Ramirez et al., 2016)</w:t>
      </w:r>
      <w:r>
        <w:rPr>
          <w:rFonts w:asciiTheme="majorBidi" w:hAnsiTheme="majorBidi" w:cstheme="majorBidi"/>
          <w:b/>
          <w:bCs/>
          <w:i/>
          <w:iCs/>
          <w:sz w:val="28"/>
          <w:szCs w:val="28"/>
        </w:rPr>
        <w:t>.</w:t>
      </w:r>
      <w:r w:rsidRPr="00485CDA">
        <w:rPr>
          <w:rFonts w:asciiTheme="majorBidi" w:hAnsiTheme="majorBidi" w:cstheme="majorBidi"/>
          <w:sz w:val="28"/>
          <w:szCs w:val="28"/>
        </w:rPr>
        <w:t xml:space="preserve"> Macroscopic haematuria in bladder cancer patients is associated with advanced pathological stage. Unfortunately, many patients with microscopic haematuria suffer from inadequate evaluation especially in the absence of active screening for bladder cancer </w:t>
      </w:r>
      <w:r w:rsidRPr="00485CDA">
        <w:rPr>
          <w:rFonts w:asciiTheme="majorBidi" w:hAnsiTheme="majorBidi" w:cstheme="majorBidi"/>
          <w:b/>
          <w:bCs/>
          <w:i/>
          <w:iCs/>
          <w:sz w:val="28"/>
          <w:szCs w:val="28"/>
        </w:rPr>
        <w:t xml:space="preserve">(Elias et al., 2010). </w:t>
      </w:r>
    </w:p>
    <w:p w14:paraId="6C02E4D5" w14:textId="0DE14CF1" w:rsidR="00803C02" w:rsidRPr="00BD2DAA" w:rsidRDefault="00803C02" w:rsidP="00803C02">
      <w:pPr>
        <w:spacing w:after="120"/>
        <w:rPr>
          <w:rFonts w:asciiTheme="majorBidi" w:hAnsiTheme="majorBidi" w:cstheme="majorBidi"/>
          <w:sz w:val="28"/>
          <w:szCs w:val="28"/>
        </w:rPr>
      </w:pPr>
      <w:r w:rsidRPr="00BD2DAA">
        <w:rPr>
          <w:rFonts w:asciiTheme="majorBidi" w:hAnsiTheme="majorBidi" w:cstheme="majorBidi"/>
          <w:sz w:val="28"/>
          <w:szCs w:val="28"/>
        </w:rPr>
        <w:t>The symptom complex of bladder irritability and urinary</w:t>
      </w:r>
      <w:r w:rsidRPr="00BD2DAA">
        <w:rPr>
          <w:rFonts w:asciiTheme="majorBidi" w:hAnsiTheme="majorBidi" w:cstheme="majorBidi"/>
          <w:sz w:val="28"/>
          <w:szCs w:val="28"/>
        </w:rPr>
        <w:br/>
        <w:t xml:space="preserve">frequency, urgency and dysuria </w:t>
      </w:r>
      <w:proofErr w:type="gramStart"/>
      <w:r w:rsidRPr="00BD2DAA">
        <w:rPr>
          <w:rFonts w:asciiTheme="majorBidi" w:hAnsiTheme="majorBidi" w:cstheme="majorBidi"/>
          <w:sz w:val="28"/>
          <w:szCs w:val="28"/>
        </w:rPr>
        <w:t>is</w:t>
      </w:r>
      <w:proofErr w:type="gramEnd"/>
      <w:r w:rsidRPr="00BD2DAA">
        <w:rPr>
          <w:rFonts w:asciiTheme="majorBidi" w:hAnsiTheme="majorBidi" w:cstheme="majorBidi"/>
          <w:sz w:val="28"/>
          <w:szCs w:val="28"/>
        </w:rPr>
        <w:t xml:space="preserve"> the second most common presentation</w:t>
      </w:r>
      <w:r w:rsidRPr="00BD2DAA">
        <w:rPr>
          <w:rFonts w:asciiTheme="majorBidi" w:hAnsiTheme="majorBidi" w:cstheme="majorBidi"/>
          <w:sz w:val="28"/>
          <w:szCs w:val="28"/>
        </w:rPr>
        <w:br/>
        <w:t>of bladder cancer and is usually associated with diffuse CIS or invasive bladder cancer</w:t>
      </w:r>
      <w:r w:rsidRPr="00BD2DAA">
        <w:rPr>
          <w:rFonts w:asciiTheme="majorBidi" w:hAnsiTheme="majorBidi" w:cstheme="majorBidi"/>
          <w:b/>
          <w:bCs/>
          <w:i/>
          <w:iCs/>
          <w:color w:val="000000"/>
          <w:sz w:val="28"/>
          <w:szCs w:val="28"/>
        </w:rPr>
        <w:t xml:space="preserve"> </w:t>
      </w:r>
      <w:r w:rsidRPr="00BD2DAA">
        <w:rPr>
          <w:rFonts w:asciiTheme="majorBidi" w:hAnsiTheme="majorBidi" w:cstheme="majorBidi"/>
          <w:b/>
          <w:bCs/>
          <w:i/>
          <w:iCs/>
          <w:sz w:val="28"/>
          <w:szCs w:val="28"/>
        </w:rPr>
        <w:t>(Kirkali et al., 2005)</w:t>
      </w:r>
      <w:r w:rsidRPr="00BD2DAA">
        <w:rPr>
          <w:rFonts w:asciiTheme="majorBidi" w:hAnsiTheme="majorBidi" w:cstheme="majorBidi"/>
          <w:sz w:val="28"/>
          <w:szCs w:val="28"/>
        </w:rPr>
        <w:t>.</w:t>
      </w:r>
    </w:p>
    <w:p w14:paraId="13368A13" w14:textId="13A6BC99" w:rsidR="00B44B23" w:rsidRDefault="00803C02" w:rsidP="00FA503B">
      <w:pPr>
        <w:spacing w:after="120"/>
        <w:rPr>
          <w:rFonts w:asciiTheme="majorBidi" w:hAnsiTheme="majorBidi" w:cstheme="majorBidi"/>
          <w:sz w:val="28"/>
          <w:szCs w:val="28"/>
        </w:rPr>
      </w:pPr>
      <w:r w:rsidRPr="00BD2DAA">
        <w:rPr>
          <w:rFonts w:asciiTheme="majorBidi" w:hAnsiTheme="majorBidi" w:cstheme="majorBidi"/>
          <w:sz w:val="28"/>
          <w:szCs w:val="28"/>
        </w:rPr>
        <w:t>Other symptoms and signs of bladder cancer include flank pain</w:t>
      </w:r>
      <w:r w:rsidRPr="00BD2DAA">
        <w:rPr>
          <w:rFonts w:asciiTheme="majorBidi" w:hAnsiTheme="majorBidi" w:cstheme="majorBidi"/>
          <w:sz w:val="28"/>
          <w:szCs w:val="28"/>
        </w:rPr>
        <w:br/>
        <w:t>caused by ureteral obstruction, lower extremity edema and a palpable</w:t>
      </w:r>
      <w:r w:rsidRPr="00BD2DAA">
        <w:rPr>
          <w:rFonts w:asciiTheme="majorBidi" w:hAnsiTheme="majorBidi" w:cstheme="majorBidi"/>
          <w:sz w:val="28"/>
          <w:szCs w:val="28"/>
        </w:rPr>
        <w:br/>
        <w:t>pelvic mass. Very rarely, patients present with symptoms of advanced</w:t>
      </w:r>
      <w:r w:rsidRPr="00BD2DAA">
        <w:rPr>
          <w:rFonts w:asciiTheme="majorBidi" w:hAnsiTheme="majorBidi" w:cstheme="majorBidi"/>
          <w:sz w:val="28"/>
          <w:szCs w:val="28"/>
        </w:rPr>
        <w:br/>
        <w:t>disease, such as weight loss and abdominal or bone pain from distant</w:t>
      </w:r>
      <w:r w:rsidRPr="00BD2DAA">
        <w:rPr>
          <w:rFonts w:asciiTheme="majorBidi" w:hAnsiTheme="majorBidi" w:cstheme="majorBidi"/>
          <w:sz w:val="28"/>
          <w:szCs w:val="28"/>
        </w:rPr>
        <w:br/>
        <w:t>metastases. However, these symptoms almost never occur without</w:t>
      </w:r>
      <w:r w:rsidRPr="00BD2DAA">
        <w:rPr>
          <w:rFonts w:asciiTheme="majorBidi" w:hAnsiTheme="majorBidi" w:cstheme="majorBidi"/>
          <w:sz w:val="28"/>
          <w:szCs w:val="28"/>
        </w:rPr>
        <w:br/>
        <w:t xml:space="preserve">microscopic or macroscopic hematuria </w:t>
      </w:r>
      <w:r w:rsidRPr="00BD2DAA">
        <w:rPr>
          <w:rFonts w:asciiTheme="majorBidi" w:hAnsiTheme="majorBidi" w:cstheme="majorBidi"/>
          <w:b/>
          <w:bCs/>
          <w:i/>
          <w:iCs/>
          <w:sz w:val="28"/>
          <w:szCs w:val="28"/>
        </w:rPr>
        <w:t>(Kirkali et al., 2005)</w:t>
      </w:r>
      <w:r w:rsidRPr="00BD2DAA">
        <w:rPr>
          <w:rFonts w:asciiTheme="majorBidi" w:hAnsiTheme="majorBidi" w:cstheme="majorBidi"/>
          <w:sz w:val="28"/>
          <w:szCs w:val="28"/>
        </w:rPr>
        <w:t>.</w:t>
      </w:r>
    </w:p>
    <w:p w14:paraId="2E5BC7EE" w14:textId="29247E56" w:rsidR="00C03CB5" w:rsidRPr="0034023C" w:rsidRDefault="00FA503B" w:rsidP="0034023C">
      <w:pPr>
        <w:pStyle w:val="ListParagraph"/>
        <w:numPr>
          <w:ilvl w:val="0"/>
          <w:numId w:val="3"/>
        </w:numPr>
        <w:tabs>
          <w:tab w:val="left" w:pos="270"/>
          <w:tab w:val="left" w:pos="630"/>
        </w:tabs>
        <w:spacing w:before="240" w:after="240"/>
        <w:ind w:left="0" w:firstLine="0"/>
        <w:rPr>
          <w:rFonts w:asciiTheme="majorBidi" w:hAnsiTheme="majorBidi" w:cstheme="majorBidi"/>
          <w:sz w:val="32"/>
          <w:szCs w:val="32"/>
        </w:rPr>
      </w:pPr>
      <w:r>
        <w:rPr>
          <w:rFonts w:asciiTheme="majorBidi" w:hAnsiTheme="majorBidi" w:cstheme="majorBidi"/>
          <w:b/>
          <w:bCs/>
          <w:sz w:val="32"/>
          <w:szCs w:val="32"/>
        </w:rPr>
        <w:t xml:space="preserve"> </w:t>
      </w:r>
      <w:r w:rsidR="00C03CB5" w:rsidRPr="0034023C">
        <w:rPr>
          <w:rFonts w:asciiTheme="majorBidi" w:hAnsiTheme="majorBidi" w:cstheme="majorBidi"/>
          <w:b/>
          <w:bCs/>
          <w:sz w:val="32"/>
          <w:szCs w:val="32"/>
        </w:rPr>
        <w:t>Investigations:</w:t>
      </w:r>
    </w:p>
    <w:p w14:paraId="1211C4D0" w14:textId="77777777" w:rsidR="002E487D" w:rsidRDefault="0034023C" w:rsidP="00242BF4">
      <w:pPr>
        <w:pStyle w:val="para"/>
        <w:shd w:val="clear" w:color="auto" w:fill="FCFCFC"/>
        <w:spacing w:before="240" w:beforeAutospacing="0" w:after="288" w:afterAutospacing="0" w:line="360" w:lineRule="auto"/>
        <w:jc w:val="both"/>
        <w:rPr>
          <w:rFonts w:asciiTheme="majorBidi" w:hAnsiTheme="majorBidi" w:cstheme="majorBidi"/>
          <w:b/>
          <w:bCs/>
          <w:i/>
          <w:iCs/>
          <w:sz w:val="28"/>
          <w:szCs w:val="28"/>
        </w:rPr>
      </w:pPr>
      <w:r w:rsidRPr="0034023C">
        <w:rPr>
          <w:rFonts w:asciiTheme="majorBidi" w:hAnsiTheme="majorBidi" w:cstheme="majorBidi"/>
          <w:b/>
          <w:bCs/>
          <w:i/>
          <w:iCs/>
          <w:sz w:val="28"/>
          <w:szCs w:val="28"/>
          <w:u w:val="single"/>
        </w:rPr>
        <w:t xml:space="preserve">A. </w:t>
      </w:r>
      <w:r w:rsidR="00584F6D">
        <w:rPr>
          <w:rFonts w:asciiTheme="majorBidi" w:hAnsiTheme="majorBidi" w:cstheme="majorBidi"/>
          <w:b/>
          <w:bCs/>
          <w:i/>
          <w:iCs/>
          <w:sz w:val="28"/>
          <w:szCs w:val="28"/>
          <w:u w:val="single"/>
        </w:rPr>
        <w:t xml:space="preserve">Urine </w:t>
      </w:r>
      <w:r w:rsidRPr="0034023C">
        <w:rPr>
          <w:rFonts w:asciiTheme="majorBidi" w:hAnsiTheme="majorBidi" w:cstheme="majorBidi"/>
          <w:b/>
          <w:bCs/>
          <w:i/>
          <w:iCs/>
          <w:sz w:val="28"/>
          <w:szCs w:val="28"/>
          <w:u w:val="single"/>
        </w:rPr>
        <w:t>Cytology</w:t>
      </w:r>
      <w:r w:rsidR="00584F6D">
        <w:rPr>
          <w:rFonts w:asciiTheme="majorBidi" w:hAnsiTheme="majorBidi" w:cstheme="majorBidi"/>
          <w:b/>
          <w:bCs/>
          <w:i/>
          <w:iCs/>
          <w:sz w:val="28"/>
          <w:szCs w:val="28"/>
          <w:u w:val="single"/>
        </w:rPr>
        <w:t xml:space="preserve"> (UC)</w:t>
      </w:r>
      <w:r w:rsidR="00C03CB5" w:rsidRPr="00BD2DAA">
        <w:rPr>
          <w:rFonts w:asciiTheme="majorBidi" w:hAnsiTheme="majorBidi" w:cstheme="majorBidi"/>
          <w:b/>
          <w:bCs/>
          <w:i/>
          <w:iCs/>
          <w:sz w:val="28"/>
          <w:szCs w:val="28"/>
        </w:rPr>
        <w:t>:</w:t>
      </w:r>
    </w:p>
    <w:p w14:paraId="4EB820C0" w14:textId="77777777" w:rsidR="00242BF4" w:rsidRDefault="00C03CB5" w:rsidP="002E487D">
      <w:pPr>
        <w:pStyle w:val="para"/>
        <w:shd w:val="clear" w:color="auto" w:fill="FCFCFC"/>
        <w:spacing w:before="0" w:beforeAutospacing="0" w:after="120" w:afterAutospacing="0"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w:t>
      </w:r>
      <w:r w:rsidR="002E487D" w:rsidRPr="00584F6D">
        <w:rPr>
          <w:rFonts w:asciiTheme="majorBidi" w:eastAsiaTheme="minorHAnsi" w:hAnsiTheme="majorBidi" w:cstheme="majorBidi"/>
          <w:sz w:val="28"/>
          <w:szCs w:val="28"/>
        </w:rPr>
        <w:t>In</w:t>
      </w:r>
      <w:r w:rsidR="00584F6D" w:rsidRPr="00584F6D">
        <w:rPr>
          <w:rFonts w:asciiTheme="majorBidi" w:eastAsiaTheme="minorHAnsi" w:hAnsiTheme="majorBidi" w:cstheme="majorBidi"/>
          <w:sz w:val="28"/>
          <w:szCs w:val="28"/>
        </w:rPr>
        <w:t xml:space="preserve"> which exfoliated cells of the urothelium are extracted and microscopically examined shows a high diagnostic specificity for BC cells (90–100%). In G3 tumors, UC promotes a high sensitivity whereas only low </w:t>
      </w:r>
      <w:r w:rsidR="00584F6D" w:rsidRPr="00584F6D">
        <w:rPr>
          <w:rFonts w:asciiTheme="majorBidi" w:eastAsiaTheme="minorHAnsi" w:hAnsiTheme="majorBidi" w:cstheme="majorBidi"/>
          <w:sz w:val="28"/>
          <w:szCs w:val="28"/>
        </w:rPr>
        <w:lastRenderedPageBreak/>
        <w:t xml:space="preserve">sensitivity in G1 lesions is shown </w:t>
      </w:r>
      <w:r w:rsidR="00584F6D" w:rsidRPr="00584F6D">
        <w:rPr>
          <w:rFonts w:asciiTheme="majorBidi" w:eastAsiaTheme="minorHAnsi" w:hAnsiTheme="majorBidi" w:cstheme="majorBidi"/>
          <w:b/>
          <w:bCs/>
          <w:i/>
          <w:iCs/>
          <w:sz w:val="28"/>
          <w:szCs w:val="28"/>
        </w:rPr>
        <w:t>(Turco et al.</w:t>
      </w:r>
      <w:r w:rsidR="00584F6D">
        <w:rPr>
          <w:rFonts w:asciiTheme="majorBidi" w:eastAsiaTheme="minorHAnsi" w:hAnsiTheme="majorBidi" w:cstheme="majorBidi"/>
          <w:b/>
          <w:bCs/>
          <w:i/>
          <w:iCs/>
          <w:sz w:val="28"/>
          <w:szCs w:val="28"/>
        </w:rPr>
        <w:t>,</w:t>
      </w:r>
      <w:r w:rsidR="00584F6D" w:rsidRPr="00584F6D">
        <w:rPr>
          <w:rFonts w:asciiTheme="majorBidi" w:eastAsiaTheme="minorHAnsi" w:hAnsiTheme="majorBidi" w:cstheme="majorBidi"/>
          <w:b/>
          <w:bCs/>
          <w:i/>
          <w:iCs/>
          <w:sz w:val="28"/>
          <w:szCs w:val="28"/>
        </w:rPr>
        <w:t> </w:t>
      </w:r>
      <w:hyperlink r:id="rId12" w:anchor="CR25" w:tooltip="View reference" w:history="1">
        <w:r w:rsidR="00584F6D" w:rsidRPr="00584F6D">
          <w:rPr>
            <w:rFonts w:asciiTheme="majorBidi" w:eastAsiaTheme="minorHAnsi" w:hAnsiTheme="majorBidi" w:cstheme="majorBidi"/>
            <w:b/>
            <w:bCs/>
            <w:i/>
            <w:iCs/>
            <w:sz w:val="28"/>
            <w:szCs w:val="28"/>
          </w:rPr>
          <w:t>2011</w:t>
        </w:r>
      </w:hyperlink>
      <w:r w:rsidR="00584F6D" w:rsidRPr="00584F6D">
        <w:rPr>
          <w:rFonts w:asciiTheme="majorBidi" w:eastAsiaTheme="minorHAnsi" w:hAnsiTheme="majorBidi" w:cstheme="majorBidi"/>
          <w:b/>
          <w:bCs/>
          <w:i/>
          <w:iCs/>
          <w:sz w:val="28"/>
          <w:szCs w:val="28"/>
        </w:rPr>
        <w:t xml:space="preserve">). </w:t>
      </w:r>
      <w:r w:rsidR="00584F6D" w:rsidRPr="00584F6D">
        <w:rPr>
          <w:rFonts w:asciiTheme="majorBidi" w:eastAsiaTheme="minorHAnsi" w:hAnsiTheme="majorBidi" w:cstheme="majorBidi"/>
          <w:sz w:val="28"/>
          <w:szCs w:val="28"/>
        </w:rPr>
        <w:t xml:space="preserve">Therefore, UC should be utilized </w:t>
      </w:r>
      <w:r w:rsidR="00584F6D">
        <w:rPr>
          <w:rFonts w:asciiTheme="majorBidi" w:eastAsiaTheme="minorHAnsi" w:hAnsiTheme="majorBidi" w:cstheme="majorBidi"/>
          <w:sz w:val="28"/>
          <w:szCs w:val="28"/>
        </w:rPr>
        <w:t>with</w:t>
      </w:r>
      <w:r w:rsidR="00584F6D" w:rsidRPr="00584F6D">
        <w:rPr>
          <w:rFonts w:asciiTheme="majorBidi" w:eastAsiaTheme="minorHAnsi" w:hAnsiTheme="majorBidi" w:cstheme="majorBidi"/>
          <w:sz w:val="28"/>
          <w:szCs w:val="28"/>
        </w:rPr>
        <w:t xml:space="preserve"> cystoscopy in high-risk tumors of the </w:t>
      </w:r>
      <w:proofErr w:type="gramStart"/>
      <w:r w:rsidR="00584F6D" w:rsidRPr="00584F6D">
        <w:rPr>
          <w:rFonts w:asciiTheme="majorBidi" w:eastAsiaTheme="minorHAnsi" w:hAnsiTheme="majorBidi" w:cstheme="majorBidi"/>
          <w:sz w:val="28"/>
          <w:szCs w:val="28"/>
        </w:rPr>
        <w:t>bladder, since</w:t>
      </w:r>
      <w:proofErr w:type="gramEnd"/>
      <w:r w:rsidR="00584F6D" w:rsidRPr="00584F6D">
        <w:rPr>
          <w:rFonts w:asciiTheme="majorBidi" w:eastAsiaTheme="minorHAnsi" w:hAnsiTheme="majorBidi" w:cstheme="majorBidi"/>
          <w:sz w:val="28"/>
          <w:szCs w:val="28"/>
        </w:rPr>
        <w:t xml:space="preserve"> positive UC can indicate urothelial tumors anywhere in the urinary tract. Nevertheless, negative UC does not exclude the presence of malignancy of the bladder. Accuracy of UC is limited by examiner’s experience and can be impeded by local urinary infections, nephrolithiasis, and intravesical instillation therapy </w:t>
      </w:r>
      <w:r w:rsidR="00242BF4" w:rsidRPr="00BD2DAA">
        <w:rPr>
          <w:rFonts w:asciiTheme="majorBidi" w:hAnsiTheme="majorBidi" w:cstheme="majorBidi"/>
          <w:b/>
          <w:bCs/>
          <w:i/>
          <w:iCs/>
          <w:color w:val="000000"/>
          <w:sz w:val="28"/>
          <w:szCs w:val="28"/>
        </w:rPr>
        <w:t>(Brimo et al., 2009)</w:t>
      </w:r>
      <w:r w:rsidR="00242BF4">
        <w:rPr>
          <w:rFonts w:asciiTheme="majorBidi" w:hAnsiTheme="majorBidi" w:cstheme="majorBidi"/>
          <w:b/>
          <w:bCs/>
          <w:i/>
          <w:iCs/>
          <w:color w:val="000000"/>
          <w:sz w:val="28"/>
          <w:szCs w:val="28"/>
        </w:rPr>
        <w:t>.</w:t>
      </w:r>
      <w:r w:rsidR="00242BF4">
        <w:rPr>
          <w:rFonts w:asciiTheme="majorBidi" w:hAnsiTheme="majorBidi" w:cstheme="majorBidi"/>
          <w:sz w:val="28"/>
          <w:szCs w:val="28"/>
        </w:rPr>
        <w:t xml:space="preserve"> </w:t>
      </w:r>
    </w:p>
    <w:p w14:paraId="08CD40A4" w14:textId="5221FD43" w:rsidR="00C03CB5" w:rsidRPr="00242BF4" w:rsidRDefault="00584F6D" w:rsidP="002E487D">
      <w:pPr>
        <w:pStyle w:val="para"/>
        <w:shd w:val="clear" w:color="auto" w:fill="FCFCFC"/>
        <w:spacing w:before="0" w:beforeAutospacing="0" w:after="120" w:afterAutospacing="0" w:line="360" w:lineRule="auto"/>
        <w:ind w:firstLine="720"/>
        <w:jc w:val="both"/>
        <w:rPr>
          <w:rFonts w:asciiTheme="majorBidi" w:eastAsiaTheme="minorHAnsi" w:hAnsiTheme="majorBidi" w:cstheme="majorBidi"/>
          <w:b/>
          <w:bCs/>
          <w:i/>
          <w:iCs/>
          <w:sz w:val="28"/>
          <w:szCs w:val="28"/>
        </w:rPr>
      </w:pPr>
      <w:proofErr w:type="gramStart"/>
      <w:r w:rsidRPr="00584F6D">
        <w:rPr>
          <w:rFonts w:asciiTheme="majorBidi" w:eastAsiaTheme="minorHAnsi" w:hAnsiTheme="majorBidi" w:cstheme="majorBidi"/>
          <w:sz w:val="28"/>
          <w:szCs w:val="28"/>
        </w:rPr>
        <w:t>In order to</w:t>
      </w:r>
      <w:proofErr w:type="gramEnd"/>
      <w:r w:rsidRPr="00584F6D">
        <w:rPr>
          <w:rFonts w:asciiTheme="majorBidi" w:eastAsiaTheme="minorHAnsi" w:hAnsiTheme="majorBidi" w:cstheme="majorBidi"/>
          <w:sz w:val="28"/>
          <w:szCs w:val="28"/>
        </w:rPr>
        <w:t xml:space="preserve"> improve sensitivity of UC, numerous different urinary marker tests were developed. Different marker systems such as </w:t>
      </w:r>
      <w:bookmarkStart w:id="18" w:name="_Hlk71752718"/>
      <w:r w:rsidRPr="00F27BE6">
        <w:rPr>
          <w:rFonts w:asciiTheme="majorBidi" w:eastAsiaTheme="minorHAnsi" w:hAnsiTheme="majorBidi" w:cstheme="majorBidi"/>
          <w:sz w:val="28"/>
          <w:szCs w:val="28"/>
        </w:rPr>
        <w:t xml:space="preserve">NMP22, </w:t>
      </w:r>
      <w:r w:rsidR="00807C61" w:rsidRPr="00807C61">
        <w:rPr>
          <w:rFonts w:asciiTheme="majorBidi" w:eastAsiaTheme="minorHAnsi" w:hAnsiTheme="majorBidi" w:cstheme="majorBidi"/>
          <w:sz w:val="28"/>
          <w:szCs w:val="28"/>
        </w:rPr>
        <w:t>ImmunoCyt/uCyt+</w:t>
      </w:r>
      <w:r w:rsidRPr="00F27BE6">
        <w:rPr>
          <w:rFonts w:asciiTheme="majorBidi" w:eastAsiaTheme="minorHAnsi" w:hAnsiTheme="majorBidi" w:cstheme="majorBidi"/>
          <w:sz w:val="28"/>
          <w:szCs w:val="28"/>
        </w:rPr>
        <w:t xml:space="preserve">, BTA stat, BTA TRAK, cytokeratins, and FISH (UroVysion) have been admitted by the US </w:t>
      </w:r>
      <w:bookmarkStart w:id="19" w:name="_Hlk73040313"/>
      <w:r w:rsidRPr="00F27BE6">
        <w:rPr>
          <w:rFonts w:asciiTheme="majorBidi" w:eastAsiaTheme="minorHAnsi" w:hAnsiTheme="majorBidi" w:cstheme="majorBidi"/>
          <w:sz w:val="28"/>
          <w:szCs w:val="28"/>
        </w:rPr>
        <w:t xml:space="preserve">Food and Drug Administration </w:t>
      </w:r>
      <w:bookmarkEnd w:id="19"/>
      <w:r w:rsidRPr="00F27BE6">
        <w:rPr>
          <w:rFonts w:asciiTheme="majorBidi" w:eastAsiaTheme="minorHAnsi" w:hAnsiTheme="majorBidi" w:cstheme="majorBidi"/>
          <w:sz w:val="28"/>
          <w:szCs w:val="28"/>
        </w:rPr>
        <w:t>(FDA</w:t>
      </w:r>
      <w:bookmarkEnd w:id="18"/>
      <w:r w:rsidRPr="00F27BE6">
        <w:rPr>
          <w:rFonts w:asciiTheme="majorBidi" w:eastAsiaTheme="minorHAnsi" w:hAnsiTheme="majorBidi" w:cstheme="majorBidi"/>
          <w:sz w:val="28"/>
          <w:szCs w:val="28"/>
        </w:rPr>
        <w:t>)</w:t>
      </w:r>
      <w:r w:rsidRPr="00584F6D">
        <w:rPr>
          <w:rFonts w:asciiTheme="majorBidi" w:eastAsiaTheme="minorHAnsi" w:hAnsiTheme="majorBidi" w:cstheme="majorBidi"/>
          <w:sz w:val="28"/>
          <w:szCs w:val="28"/>
        </w:rPr>
        <w:t xml:space="preserve"> </w:t>
      </w:r>
      <w:r w:rsidRPr="00242BF4">
        <w:rPr>
          <w:rFonts w:asciiTheme="majorBidi" w:eastAsiaTheme="minorHAnsi" w:hAnsiTheme="majorBidi" w:cstheme="majorBidi"/>
          <w:b/>
          <w:bCs/>
          <w:i/>
          <w:iCs/>
          <w:sz w:val="28"/>
          <w:szCs w:val="28"/>
        </w:rPr>
        <w:t>(Tritschler and Scharf</w:t>
      </w:r>
      <w:r w:rsidR="00242BF4">
        <w:rPr>
          <w:rFonts w:asciiTheme="majorBidi" w:eastAsiaTheme="minorHAnsi" w:hAnsiTheme="majorBidi" w:cstheme="majorBidi"/>
          <w:b/>
          <w:bCs/>
          <w:i/>
          <w:iCs/>
          <w:sz w:val="28"/>
          <w:szCs w:val="28"/>
        </w:rPr>
        <w:t>,</w:t>
      </w:r>
      <w:r w:rsidRPr="00242BF4">
        <w:rPr>
          <w:rFonts w:asciiTheme="majorBidi" w:eastAsiaTheme="minorHAnsi" w:hAnsiTheme="majorBidi" w:cstheme="majorBidi"/>
          <w:b/>
          <w:bCs/>
          <w:i/>
          <w:iCs/>
          <w:sz w:val="28"/>
          <w:szCs w:val="28"/>
        </w:rPr>
        <w:t> </w:t>
      </w:r>
      <w:hyperlink r:id="rId13" w:anchor="CR23" w:tooltip="View reference" w:history="1">
        <w:r w:rsidRPr="00242BF4">
          <w:rPr>
            <w:rFonts w:asciiTheme="majorBidi" w:eastAsiaTheme="minorHAnsi" w:hAnsiTheme="majorBidi" w:cstheme="majorBidi"/>
            <w:b/>
            <w:bCs/>
            <w:i/>
            <w:iCs/>
            <w:sz w:val="28"/>
            <w:szCs w:val="28"/>
          </w:rPr>
          <w:t>2007</w:t>
        </w:r>
      </w:hyperlink>
      <w:r w:rsidRPr="00242BF4">
        <w:rPr>
          <w:rFonts w:asciiTheme="majorBidi" w:eastAsiaTheme="minorHAnsi" w:hAnsiTheme="majorBidi" w:cstheme="majorBidi"/>
          <w:b/>
          <w:bCs/>
          <w:i/>
          <w:iCs/>
          <w:sz w:val="28"/>
          <w:szCs w:val="28"/>
        </w:rPr>
        <w:t>).</w:t>
      </w:r>
      <w:r w:rsidR="00242BF4">
        <w:rPr>
          <w:rFonts w:asciiTheme="majorBidi" w:eastAsiaTheme="minorHAnsi" w:hAnsiTheme="majorBidi" w:cstheme="majorBidi"/>
          <w:b/>
          <w:bCs/>
          <w:i/>
          <w:iCs/>
          <w:sz w:val="28"/>
          <w:szCs w:val="28"/>
        </w:rPr>
        <w:t xml:space="preserve"> </w:t>
      </w:r>
    </w:p>
    <w:p w14:paraId="453593B7" w14:textId="77777777" w:rsidR="00B44B23" w:rsidRDefault="00C03CB5" w:rsidP="00B44B23">
      <w:pPr>
        <w:tabs>
          <w:tab w:val="left" w:pos="360"/>
          <w:tab w:val="left" w:pos="540"/>
        </w:tabs>
        <w:ind w:firstLine="0"/>
        <w:rPr>
          <w:rFonts w:asciiTheme="majorBidi" w:hAnsiTheme="majorBidi" w:cstheme="majorBidi"/>
          <w:b/>
          <w:bCs/>
          <w:i/>
          <w:iCs/>
          <w:color w:val="000000"/>
          <w:sz w:val="28"/>
          <w:szCs w:val="28"/>
        </w:rPr>
      </w:pPr>
      <w:r w:rsidRPr="0034023C">
        <w:rPr>
          <w:rFonts w:asciiTheme="majorBidi" w:hAnsiTheme="majorBidi" w:cstheme="majorBidi"/>
          <w:b/>
          <w:bCs/>
          <w:i/>
          <w:iCs/>
          <w:color w:val="000000"/>
          <w:sz w:val="28"/>
          <w:szCs w:val="28"/>
          <w:u w:val="single"/>
        </w:rPr>
        <w:t>B. Cystoscopy and biopsy:</w:t>
      </w:r>
      <w:r w:rsidR="001B52F0" w:rsidRPr="001B52F0">
        <w:rPr>
          <w:rFonts w:asciiTheme="majorBidi" w:hAnsiTheme="majorBidi" w:cstheme="majorBidi"/>
          <w:b/>
          <w:bCs/>
          <w:i/>
          <w:iCs/>
          <w:color w:val="000000"/>
          <w:sz w:val="28"/>
          <w:szCs w:val="28"/>
        </w:rPr>
        <w:t xml:space="preserve"> </w:t>
      </w:r>
      <w:r w:rsidR="001B52F0">
        <w:rPr>
          <w:rFonts w:asciiTheme="majorBidi" w:hAnsiTheme="majorBidi" w:cstheme="majorBidi"/>
          <w:b/>
          <w:bCs/>
          <w:i/>
          <w:iCs/>
          <w:color w:val="000000"/>
          <w:sz w:val="28"/>
          <w:szCs w:val="28"/>
        </w:rPr>
        <w:t>t</w:t>
      </w:r>
      <w:r w:rsidR="002E487D" w:rsidRPr="002E487D">
        <w:rPr>
          <w:rFonts w:asciiTheme="majorBidi" w:hAnsiTheme="majorBidi" w:cstheme="majorBidi"/>
          <w:b/>
          <w:bCs/>
          <w:i/>
          <w:iCs/>
          <w:color w:val="000000"/>
          <w:sz w:val="28"/>
          <w:szCs w:val="28"/>
        </w:rPr>
        <w:t>he</w:t>
      </w:r>
      <w:r w:rsidR="003E10E5" w:rsidRPr="002E487D">
        <w:rPr>
          <w:rFonts w:asciiTheme="majorBidi" w:hAnsiTheme="majorBidi" w:cstheme="majorBidi"/>
          <w:b/>
          <w:bCs/>
          <w:i/>
          <w:iCs/>
          <w:color w:val="000000"/>
          <w:sz w:val="28"/>
          <w:szCs w:val="28"/>
        </w:rPr>
        <w:t xml:space="preserve"> rigid or flexible </w:t>
      </w:r>
      <w:bookmarkStart w:id="20" w:name="_Hlk71752814"/>
      <w:r w:rsidR="003E10E5" w:rsidRPr="002E487D">
        <w:rPr>
          <w:rFonts w:asciiTheme="majorBidi" w:hAnsiTheme="majorBidi" w:cstheme="majorBidi"/>
          <w:b/>
          <w:bCs/>
          <w:i/>
          <w:iCs/>
          <w:color w:val="000000"/>
          <w:sz w:val="28"/>
          <w:szCs w:val="28"/>
        </w:rPr>
        <w:t>white light cystoscopy (WLC</w:t>
      </w:r>
      <w:bookmarkEnd w:id="20"/>
      <w:r w:rsidR="001B52F0">
        <w:rPr>
          <w:rFonts w:asciiTheme="majorBidi" w:hAnsiTheme="majorBidi" w:cstheme="majorBidi"/>
          <w:b/>
          <w:bCs/>
          <w:i/>
          <w:iCs/>
          <w:color w:val="000000"/>
          <w:sz w:val="28"/>
          <w:szCs w:val="28"/>
        </w:rPr>
        <w:t>)</w:t>
      </w:r>
      <w:r w:rsidR="002E487D">
        <w:rPr>
          <w:rFonts w:asciiTheme="majorBidi" w:hAnsiTheme="majorBidi" w:cstheme="majorBidi"/>
          <w:color w:val="000000"/>
          <w:sz w:val="28"/>
          <w:szCs w:val="28"/>
        </w:rPr>
        <w:t xml:space="preserve"> </w:t>
      </w:r>
      <w:r w:rsidR="003E10E5" w:rsidRPr="003E10E5">
        <w:rPr>
          <w:rFonts w:asciiTheme="majorBidi" w:hAnsiTheme="majorBidi" w:cstheme="majorBidi"/>
          <w:color w:val="000000"/>
          <w:sz w:val="28"/>
          <w:szCs w:val="28"/>
        </w:rPr>
        <w:t>presents the diagnostic gold standard for NMIBC and MIBC. Sensitivity and specificity in WLC in detection varies between 6–84% (sensitivity) and 43–98% (specificity)</w:t>
      </w:r>
      <w:r w:rsidR="003E10E5">
        <w:rPr>
          <w:rFonts w:asciiTheme="majorBidi" w:hAnsiTheme="majorBidi" w:cstheme="majorBidi"/>
          <w:color w:val="000000"/>
          <w:sz w:val="28"/>
          <w:szCs w:val="28"/>
        </w:rPr>
        <w:t xml:space="preserve"> </w:t>
      </w:r>
      <w:r w:rsidR="003E10E5" w:rsidRPr="003E10E5">
        <w:rPr>
          <w:rFonts w:asciiTheme="majorBidi" w:hAnsiTheme="majorBidi" w:cstheme="majorBidi"/>
          <w:b/>
          <w:bCs/>
          <w:i/>
          <w:iCs/>
          <w:color w:val="000000"/>
          <w:sz w:val="28"/>
          <w:szCs w:val="28"/>
        </w:rPr>
        <w:t>(Jocham et al. </w:t>
      </w:r>
      <w:hyperlink r:id="rId14" w:anchor="CR11" w:tooltip="View reference" w:history="1">
        <w:r w:rsidR="003E10E5" w:rsidRPr="003E10E5">
          <w:rPr>
            <w:rFonts w:asciiTheme="majorBidi" w:hAnsiTheme="majorBidi" w:cstheme="majorBidi"/>
            <w:b/>
            <w:bCs/>
            <w:i/>
            <w:iCs/>
            <w:color w:val="000000"/>
            <w:sz w:val="28"/>
            <w:szCs w:val="28"/>
          </w:rPr>
          <w:t>2008</w:t>
        </w:r>
      </w:hyperlink>
      <w:r w:rsidR="003E10E5" w:rsidRPr="003E10E5">
        <w:rPr>
          <w:rFonts w:asciiTheme="majorBidi" w:hAnsiTheme="majorBidi" w:cstheme="majorBidi"/>
          <w:b/>
          <w:bCs/>
          <w:i/>
          <w:iCs/>
          <w:color w:val="000000"/>
          <w:sz w:val="28"/>
          <w:szCs w:val="28"/>
        </w:rPr>
        <w:t>)</w:t>
      </w:r>
      <w:r w:rsidRPr="00BD2DAA">
        <w:rPr>
          <w:rFonts w:asciiTheme="majorBidi" w:hAnsiTheme="majorBidi" w:cstheme="majorBidi"/>
          <w:color w:val="000000"/>
          <w:sz w:val="28"/>
          <w:szCs w:val="28"/>
        </w:rPr>
        <w:t>.</w:t>
      </w:r>
      <w:r w:rsidR="003E10E5">
        <w:rPr>
          <w:rFonts w:asciiTheme="majorBidi" w:hAnsiTheme="majorBidi" w:cstheme="majorBidi"/>
          <w:color w:val="000000"/>
          <w:sz w:val="28"/>
          <w:szCs w:val="28"/>
        </w:rPr>
        <w:t xml:space="preserve"> </w:t>
      </w:r>
      <w:r w:rsidR="003E10E5">
        <w:rPr>
          <w:rFonts w:ascii="Georgia" w:hAnsi="Georgia"/>
          <w:color w:val="333333"/>
          <w:spacing w:val="2"/>
          <w:sz w:val="26"/>
          <w:szCs w:val="26"/>
        </w:rPr>
        <w:t xml:space="preserve">If the presence of a BC is evident, a transurethral resection of the tumor (TURB) is mandatory. The procedure of TURB is the basis for both: histopathological diagnosis and the complete resection of the lesion. TURB should therefore be performed systematically and in individual steps </w:t>
      </w:r>
      <w:r w:rsidR="00FE2E30">
        <w:rPr>
          <w:rFonts w:asciiTheme="majorBidi" w:hAnsiTheme="majorBidi" w:cstheme="majorBidi"/>
          <w:b/>
          <w:bCs/>
          <w:i/>
          <w:iCs/>
          <w:color w:val="000000"/>
          <w:sz w:val="28"/>
          <w:szCs w:val="28"/>
        </w:rPr>
        <w:t xml:space="preserve">(Babjuk et </w:t>
      </w:r>
      <w:r w:rsidR="002E487D">
        <w:rPr>
          <w:rFonts w:asciiTheme="majorBidi" w:hAnsiTheme="majorBidi" w:cstheme="majorBidi"/>
          <w:b/>
          <w:bCs/>
          <w:i/>
          <w:iCs/>
          <w:color w:val="000000"/>
          <w:sz w:val="28"/>
          <w:szCs w:val="28"/>
        </w:rPr>
        <w:t>a</w:t>
      </w:r>
      <w:r w:rsidR="003E10E5" w:rsidRPr="003E10E5">
        <w:rPr>
          <w:rFonts w:asciiTheme="majorBidi" w:hAnsiTheme="majorBidi" w:cstheme="majorBidi"/>
          <w:b/>
          <w:bCs/>
          <w:i/>
          <w:iCs/>
          <w:color w:val="000000"/>
          <w:sz w:val="28"/>
          <w:szCs w:val="28"/>
        </w:rPr>
        <w:t>l. </w:t>
      </w:r>
      <w:hyperlink r:id="rId15" w:anchor="CR1" w:tooltip="View reference" w:history="1">
        <w:r w:rsidR="003E10E5" w:rsidRPr="003E10E5">
          <w:rPr>
            <w:rFonts w:asciiTheme="majorBidi" w:hAnsiTheme="majorBidi" w:cstheme="majorBidi"/>
            <w:b/>
            <w:bCs/>
            <w:i/>
            <w:iCs/>
            <w:color w:val="000000"/>
            <w:sz w:val="28"/>
            <w:szCs w:val="28"/>
          </w:rPr>
          <w:t>2015</w:t>
        </w:r>
      </w:hyperlink>
      <w:r w:rsidR="003E10E5" w:rsidRPr="003E10E5">
        <w:rPr>
          <w:rFonts w:asciiTheme="majorBidi" w:hAnsiTheme="majorBidi" w:cstheme="majorBidi"/>
          <w:b/>
          <w:bCs/>
          <w:i/>
          <w:iCs/>
          <w:color w:val="000000"/>
          <w:sz w:val="28"/>
          <w:szCs w:val="28"/>
        </w:rPr>
        <w:t>).</w:t>
      </w:r>
    </w:p>
    <w:p w14:paraId="3370BFE7" w14:textId="77777777" w:rsidR="008329C3" w:rsidRPr="002E487D" w:rsidRDefault="00C03CB5" w:rsidP="00B44B23">
      <w:pPr>
        <w:tabs>
          <w:tab w:val="left" w:pos="360"/>
          <w:tab w:val="left" w:pos="540"/>
        </w:tabs>
        <w:ind w:firstLine="0"/>
        <w:rPr>
          <w:rFonts w:asciiTheme="majorBidi" w:hAnsiTheme="majorBidi" w:cstheme="majorBidi"/>
          <w:color w:val="000000"/>
          <w:sz w:val="28"/>
          <w:szCs w:val="28"/>
        </w:rPr>
      </w:pPr>
      <w:r w:rsidRPr="00BD2DAA">
        <w:rPr>
          <w:rFonts w:asciiTheme="majorBidi" w:hAnsiTheme="majorBidi" w:cstheme="majorBidi"/>
          <w:color w:val="000000"/>
          <w:sz w:val="28"/>
          <w:szCs w:val="28"/>
        </w:rPr>
        <w:t xml:space="preserve"> A disadvantage of conventional cystoscopy is the difficulty in detecting fl</w:t>
      </w:r>
      <w:r>
        <w:rPr>
          <w:rFonts w:asciiTheme="majorBidi" w:hAnsiTheme="majorBidi" w:cstheme="majorBidi"/>
          <w:color w:val="000000"/>
          <w:sz w:val="28"/>
          <w:szCs w:val="28"/>
        </w:rPr>
        <w:t xml:space="preserve">at lesions such as carcinoma in </w:t>
      </w:r>
      <w:r w:rsidRPr="00BD2DAA">
        <w:rPr>
          <w:rFonts w:asciiTheme="majorBidi" w:hAnsiTheme="majorBidi" w:cstheme="majorBidi"/>
          <w:color w:val="000000"/>
          <w:sz w:val="28"/>
          <w:szCs w:val="28"/>
        </w:rPr>
        <w:t xml:space="preserve">situ (CIS) </w:t>
      </w:r>
      <w:r w:rsidRPr="00BD2DAA">
        <w:rPr>
          <w:rFonts w:asciiTheme="majorBidi" w:hAnsiTheme="majorBidi" w:cstheme="majorBidi"/>
          <w:b/>
          <w:bCs/>
          <w:i/>
          <w:iCs/>
          <w:color w:val="000000"/>
          <w:sz w:val="28"/>
          <w:szCs w:val="28"/>
        </w:rPr>
        <w:t>(Jacobs et al., 2010)</w:t>
      </w:r>
      <w:r w:rsidRPr="00BD2DAA">
        <w:rPr>
          <w:rFonts w:asciiTheme="majorBidi" w:hAnsiTheme="majorBidi" w:cstheme="majorBidi"/>
          <w:color w:val="000000"/>
          <w:sz w:val="28"/>
          <w:szCs w:val="28"/>
        </w:rPr>
        <w:t xml:space="preserve">. This has </w:t>
      </w:r>
      <w:r>
        <w:rPr>
          <w:rFonts w:asciiTheme="majorBidi" w:hAnsiTheme="majorBidi" w:cstheme="majorBidi"/>
          <w:color w:val="000000"/>
          <w:sz w:val="28"/>
          <w:szCs w:val="28"/>
        </w:rPr>
        <w:t xml:space="preserve">led to the development of newer </w:t>
      </w:r>
      <w:r w:rsidRPr="00BD2DAA">
        <w:rPr>
          <w:rFonts w:asciiTheme="majorBidi" w:hAnsiTheme="majorBidi" w:cstheme="majorBidi"/>
          <w:color w:val="000000"/>
          <w:sz w:val="28"/>
          <w:szCs w:val="28"/>
        </w:rPr>
        <w:t xml:space="preserve">technologies such as </w:t>
      </w:r>
      <w:bookmarkStart w:id="21" w:name="_Hlk71752841"/>
      <w:r w:rsidRPr="00BD2DAA">
        <w:rPr>
          <w:rFonts w:asciiTheme="majorBidi" w:hAnsiTheme="majorBidi" w:cstheme="majorBidi"/>
          <w:color w:val="000000"/>
          <w:sz w:val="28"/>
          <w:szCs w:val="28"/>
        </w:rPr>
        <w:t>photodynamic diagno</w:t>
      </w:r>
      <w:r>
        <w:rPr>
          <w:rFonts w:asciiTheme="majorBidi" w:hAnsiTheme="majorBidi" w:cstheme="majorBidi"/>
          <w:color w:val="000000"/>
          <w:sz w:val="28"/>
          <w:szCs w:val="28"/>
        </w:rPr>
        <w:t>sis (PDD</w:t>
      </w:r>
      <w:bookmarkEnd w:id="21"/>
      <w:r>
        <w:rPr>
          <w:rFonts w:asciiTheme="majorBidi" w:hAnsiTheme="majorBidi" w:cstheme="majorBidi"/>
          <w:color w:val="000000"/>
          <w:sz w:val="28"/>
          <w:szCs w:val="28"/>
        </w:rPr>
        <w:t xml:space="preserve">) and </w:t>
      </w:r>
      <w:bookmarkStart w:id="22" w:name="_Hlk71752872"/>
      <w:r>
        <w:rPr>
          <w:rFonts w:asciiTheme="majorBidi" w:hAnsiTheme="majorBidi" w:cstheme="majorBidi"/>
          <w:color w:val="000000"/>
          <w:sz w:val="28"/>
          <w:szCs w:val="28"/>
        </w:rPr>
        <w:t xml:space="preserve">narrow-band </w:t>
      </w:r>
      <w:r w:rsidRPr="00BD2DAA">
        <w:rPr>
          <w:rFonts w:asciiTheme="majorBidi" w:hAnsiTheme="majorBidi" w:cstheme="majorBidi"/>
          <w:color w:val="000000"/>
          <w:sz w:val="28"/>
          <w:szCs w:val="28"/>
        </w:rPr>
        <w:t>imaging (NBI</w:t>
      </w:r>
      <w:bookmarkEnd w:id="22"/>
      <w:r w:rsidRPr="00BD2DAA">
        <w:rPr>
          <w:rFonts w:asciiTheme="majorBidi" w:hAnsiTheme="majorBidi" w:cstheme="majorBidi"/>
          <w:color w:val="000000"/>
          <w:sz w:val="28"/>
          <w:szCs w:val="28"/>
        </w:rPr>
        <w:t xml:space="preserve">) cystoscopy </w:t>
      </w:r>
      <w:r w:rsidRPr="00BD2DAA">
        <w:rPr>
          <w:rFonts w:asciiTheme="majorBidi" w:hAnsiTheme="majorBidi" w:cstheme="majorBidi"/>
          <w:b/>
          <w:bCs/>
          <w:i/>
          <w:iCs/>
          <w:color w:val="000000"/>
          <w:sz w:val="28"/>
          <w:szCs w:val="28"/>
        </w:rPr>
        <w:t>(Cheung et al., 2013)</w:t>
      </w:r>
      <w:r w:rsidRPr="00BD2DAA">
        <w:rPr>
          <w:rFonts w:asciiTheme="majorBidi" w:hAnsiTheme="majorBidi" w:cstheme="majorBidi"/>
          <w:color w:val="000000"/>
          <w:sz w:val="28"/>
          <w:szCs w:val="28"/>
        </w:rPr>
        <w:t>.</w:t>
      </w:r>
    </w:p>
    <w:p w14:paraId="077ED464" w14:textId="77777777" w:rsidR="00906B86" w:rsidRDefault="001B52F0" w:rsidP="008329C3">
      <w:pPr>
        <w:spacing w:before="120" w:after="120"/>
        <w:ind w:left="90" w:firstLine="0"/>
        <w:rPr>
          <w:rFonts w:ascii="Georgia" w:hAnsi="Georgia"/>
          <w:color w:val="333333"/>
          <w:spacing w:val="2"/>
          <w:sz w:val="26"/>
          <w:szCs w:val="26"/>
        </w:rPr>
      </w:pPr>
      <w:r>
        <w:rPr>
          <w:rFonts w:asciiTheme="majorBidi" w:hAnsiTheme="majorBidi" w:cstheme="majorBidi"/>
          <w:b/>
          <w:bCs/>
          <w:i/>
          <w:iCs/>
          <w:color w:val="333333"/>
          <w:spacing w:val="1"/>
          <w:sz w:val="28"/>
          <w:szCs w:val="28"/>
          <w:shd w:val="clear" w:color="auto" w:fill="FCFCFC"/>
        </w:rPr>
        <w:t>-</w:t>
      </w:r>
      <w:r w:rsidR="002E487D">
        <w:rPr>
          <w:rFonts w:ascii="Georgia" w:hAnsi="Georgia"/>
          <w:i/>
          <w:iCs/>
          <w:color w:val="333333"/>
          <w:spacing w:val="1"/>
          <w:sz w:val="21"/>
          <w:szCs w:val="21"/>
          <w:shd w:val="clear" w:color="auto" w:fill="FCFCFC"/>
        </w:rPr>
        <w:t xml:space="preserve"> </w:t>
      </w:r>
      <w:r w:rsidR="00E45560" w:rsidRPr="002E487D">
        <w:rPr>
          <w:rFonts w:ascii="Georgia" w:hAnsi="Georgia"/>
          <w:i/>
          <w:iCs/>
          <w:color w:val="333333"/>
          <w:spacing w:val="1"/>
          <w:sz w:val="21"/>
          <w:szCs w:val="21"/>
          <w:shd w:val="clear" w:color="auto" w:fill="FCFCFC"/>
        </w:rPr>
        <w:t> </w:t>
      </w:r>
      <w:r w:rsidR="00E45560" w:rsidRPr="002E487D">
        <w:rPr>
          <w:rFonts w:asciiTheme="majorBidi" w:hAnsiTheme="majorBidi" w:cstheme="majorBidi"/>
          <w:b/>
          <w:bCs/>
          <w:i/>
          <w:iCs/>
          <w:color w:val="000000"/>
          <w:sz w:val="28"/>
          <w:szCs w:val="28"/>
        </w:rPr>
        <w:t>Fluorescence cystoscopy (photodynamic diagnosis (PDD)</w:t>
      </w:r>
      <w:r w:rsidR="008329C3" w:rsidRPr="002E487D">
        <w:rPr>
          <w:rFonts w:asciiTheme="majorBidi" w:hAnsiTheme="majorBidi" w:cstheme="majorBidi"/>
          <w:b/>
          <w:bCs/>
          <w:i/>
          <w:iCs/>
          <w:color w:val="000000"/>
          <w:sz w:val="28"/>
          <w:szCs w:val="28"/>
        </w:rPr>
        <w:t>:</w:t>
      </w:r>
      <w:r w:rsidR="008329C3" w:rsidRPr="008329C3">
        <w:rPr>
          <w:rFonts w:asciiTheme="majorBidi" w:hAnsiTheme="majorBidi" w:cstheme="majorBidi"/>
          <w:b/>
          <w:bCs/>
          <w:i/>
          <w:iCs/>
          <w:color w:val="000000"/>
          <w:sz w:val="28"/>
          <w:szCs w:val="28"/>
        </w:rPr>
        <w:t xml:space="preserve"> </w:t>
      </w:r>
      <w:r w:rsidR="00C03CB5" w:rsidRPr="00BD2DAA">
        <w:rPr>
          <w:rFonts w:asciiTheme="majorBidi" w:hAnsiTheme="majorBidi" w:cstheme="majorBidi"/>
          <w:color w:val="000000"/>
          <w:sz w:val="28"/>
          <w:szCs w:val="28"/>
        </w:rPr>
        <w:t>Photodynamic diagnosis or fluorescence cystoscopy aims to</w:t>
      </w:r>
      <w:r w:rsidR="00C03CB5" w:rsidRPr="00BD2DAA">
        <w:rPr>
          <w:rFonts w:asciiTheme="majorBidi" w:hAnsiTheme="majorBidi" w:cstheme="majorBidi"/>
          <w:color w:val="000000"/>
          <w:sz w:val="28"/>
          <w:szCs w:val="28"/>
        </w:rPr>
        <w:br/>
        <w:t>improve the visualization of bladder cancer based on cystoscopic</w:t>
      </w:r>
      <w:r w:rsidR="00C03CB5" w:rsidRPr="00BD2DAA">
        <w:rPr>
          <w:rFonts w:asciiTheme="majorBidi" w:hAnsiTheme="majorBidi" w:cstheme="majorBidi"/>
          <w:color w:val="000000"/>
          <w:sz w:val="28"/>
          <w:szCs w:val="28"/>
        </w:rPr>
        <w:br/>
        <w:t>detection of fluorescent signals from neoplastic tissue. This fluorescence</w:t>
      </w:r>
      <w:r w:rsidR="00C03CB5" w:rsidRPr="00BD2DAA">
        <w:rPr>
          <w:rFonts w:asciiTheme="majorBidi" w:hAnsiTheme="majorBidi" w:cstheme="majorBidi"/>
          <w:color w:val="000000"/>
          <w:sz w:val="28"/>
          <w:szCs w:val="28"/>
        </w:rPr>
        <w:br/>
      </w:r>
      <w:r w:rsidR="00C03CB5" w:rsidRPr="00BD2DAA">
        <w:rPr>
          <w:rFonts w:asciiTheme="majorBidi" w:hAnsiTheme="majorBidi" w:cstheme="majorBidi"/>
          <w:color w:val="000000"/>
          <w:sz w:val="28"/>
          <w:szCs w:val="28"/>
        </w:rPr>
        <w:lastRenderedPageBreak/>
        <w:t>is accomplished by the intravesical administration of photosensitizing</w:t>
      </w:r>
      <w:r w:rsidR="00C03CB5" w:rsidRPr="00BD2DAA">
        <w:rPr>
          <w:rFonts w:asciiTheme="majorBidi" w:hAnsiTheme="majorBidi" w:cstheme="majorBidi"/>
          <w:color w:val="000000"/>
          <w:sz w:val="28"/>
          <w:szCs w:val="28"/>
        </w:rPr>
        <w:br/>
        <w:t>agents 5-aminolevulenic acid or its derivative hexaminolevulinate which</w:t>
      </w:r>
      <w:r w:rsidR="00C03CB5" w:rsidRPr="00BD2DAA">
        <w:rPr>
          <w:rFonts w:asciiTheme="majorBidi" w:hAnsiTheme="majorBidi" w:cstheme="majorBidi"/>
          <w:color w:val="000000"/>
          <w:sz w:val="28"/>
          <w:szCs w:val="28"/>
        </w:rPr>
        <w:br/>
        <w:t>cause selective accumulation of photoactive porphyrins in rapidly</w:t>
      </w:r>
      <w:r w:rsidR="00C03CB5" w:rsidRPr="00BD2DAA">
        <w:rPr>
          <w:rFonts w:asciiTheme="majorBidi" w:hAnsiTheme="majorBidi" w:cstheme="majorBidi"/>
          <w:color w:val="000000"/>
          <w:sz w:val="28"/>
          <w:szCs w:val="28"/>
        </w:rPr>
        <w:br/>
        <w:t>proliferating cells (e.g., tumor cells) (</w:t>
      </w:r>
      <w:r w:rsidR="000E7A26">
        <w:rPr>
          <w:rFonts w:asciiTheme="majorBidi" w:hAnsiTheme="majorBidi" w:cstheme="majorBidi"/>
          <w:color w:val="000000"/>
          <w:sz w:val="28"/>
          <w:szCs w:val="28"/>
        </w:rPr>
        <w:t xml:space="preserve">figure </w:t>
      </w:r>
      <w:r w:rsidR="00476F41">
        <w:rPr>
          <w:rFonts w:asciiTheme="majorBidi" w:hAnsiTheme="majorBidi" w:cstheme="majorBidi"/>
          <w:color w:val="000000"/>
          <w:sz w:val="28"/>
          <w:szCs w:val="28"/>
        </w:rPr>
        <w:t>3</w:t>
      </w:r>
      <w:r w:rsidR="00C03CB5" w:rsidRPr="00BD2DAA">
        <w:rPr>
          <w:rFonts w:asciiTheme="majorBidi" w:hAnsiTheme="majorBidi" w:cstheme="majorBidi"/>
          <w:color w:val="000000"/>
          <w:sz w:val="28"/>
          <w:szCs w:val="28"/>
        </w:rPr>
        <w:t xml:space="preserve">) </w:t>
      </w:r>
      <w:r w:rsidR="00C03CB5">
        <w:rPr>
          <w:rFonts w:asciiTheme="majorBidi" w:hAnsiTheme="majorBidi" w:cstheme="majorBidi"/>
          <w:b/>
          <w:bCs/>
          <w:i/>
          <w:iCs/>
          <w:color w:val="000000"/>
          <w:sz w:val="28"/>
          <w:szCs w:val="28"/>
        </w:rPr>
        <w:t xml:space="preserve">(Cauberg </w:t>
      </w:r>
      <w:r w:rsidR="00C03CB5" w:rsidRPr="00BD2DAA">
        <w:rPr>
          <w:rFonts w:asciiTheme="majorBidi" w:hAnsiTheme="majorBidi" w:cstheme="majorBidi"/>
          <w:b/>
          <w:bCs/>
          <w:i/>
          <w:iCs/>
          <w:color w:val="000000"/>
          <w:sz w:val="28"/>
          <w:szCs w:val="28"/>
        </w:rPr>
        <w:t>et al.,</w:t>
      </w:r>
      <w:r w:rsidR="00C03CB5" w:rsidRPr="00BD2DAA">
        <w:rPr>
          <w:rFonts w:asciiTheme="majorBidi" w:hAnsiTheme="majorBidi" w:cstheme="majorBidi"/>
          <w:color w:val="000000"/>
          <w:sz w:val="28"/>
          <w:szCs w:val="28"/>
        </w:rPr>
        <w:br/>
      </w:r>
      <w:r w:rsidR="00C03CB5" w:rsidRPr="00BD2DAA">
        <w:rPr>
          <w:rFonts w:asciiTheme="majorBidi" w:hAnsiTheme="majorBidi" w:cstheme="majorBidi"/>
          <w:b/>
          <w:bCs/>
          <w:i/>
          <w:iCs/>
          <w:color w:val="000000"/>
          <w:sz w:val="28"/>
          <w:szCs w:val="28"/>
        </w:rPr>
        <w:t>2011).</w:t>
      </w:r>
      <w:r w:rsidR="00906B86" w:rsidRPr="00906B86">
        <w:rPr>
          <w:rFonts w:ascii="Georgia" w:hAnsi="Georgia"/>
          <w:color w:val="333333"/>
          <w:spacing w:val="2"/>
          <w:sz w:val="26"/>
          <w:szCs w:val="26"/>
        </w:rPr>
        <w:t xml:space="preserve"> </w:t>
      </w:r>
    </w:p>
    <w:p w14:paraId="641E7027" w14:textId="780F7DAF" w:rsidR="000A244A" w:rsidRPr="00FA503B" w:rsidRDefault="00906B86" w:rsidP="00FA503B">
      <w:pPr>
        <w:spacing w:before="120" w:after="120"/>
        <w:ind w:left="90" w:firstLine="0"/>
        <w:rPr>
          <w:rFonts w:asciiTheme="majorBidi" w:hAnsiTheme="majorBidi" w:cstheme="majorBidi"/>
          <w:b/>
          <w:bCs/>
          <w:i/>
          <w:iCs/>
          <w:color w:val="000000"/>
          <w:sz w:val="28"/>
          <w:szCs w:val="28"/>
        </w:rPr>
      </w:pPr>
      <w:r w:rsidRPr="00906B86">
        <w:rPr>
          <w:rFonts w:asciiTheme="majorBidi" w:hAnsiTheme="majorBidi" w:cstheme="majorBidi"/>
          <w:color w:val="000000"/>
          <w:sz w:val="28"/>
          <w:szCs w:val="28"/>
        </w:rPr>
        <w:t xml:space="preserve">PDD has a significant higher detection rate compared to white light. The detection rate for CIS lesions </w:t>
      </w:r>
      <w:proofErr w:type="gramStart"/>
      <w:r w:rsidRPr="00906B86">
        <w:rPr>
          <w:rFonts w:asciiTheme="majorBidi" w:hAnsiTheme="majorBidi" w:cstheme="majorBidi"/>
          <w:color w:val="000000"/>
          <w:sz w:val="28"/>
          <w:szCs w:val="28"/>
        </w:rPr>
        <w:t>is considered to be</w:t>
      </w:r>
      <w:proofErr w:type="gramEnd"/>
      <w:r w:rsidRPr="00906B86">
        <w:rPr>
          <w:rFonts w:asciiTheme="majorBidi" w:hAnsiTheme="majorBidi" w:cstheme="majorBidi"/>
          <w:color w:val="000000"/>
          <w:sz w:val="28"/>
          <w:szCs w:val="28"/>
        </w:rPr>
        <w:t xml:space="preserve"> up to 40% higher using PDD</w:t>
      </w:r>
      <w:r>
        <w:rPr>
          <w:rFonts w:asciiTheme="majorBidi" w:hAnsiTheme="majorBidi" w:cstheme="majorBidi"/>
          <w:color w:val="000000"/>
          <w:sz w:val="28"/>
          <w:szCs w:val="28"/>
        </w:rPr>
        <w:t>.</w:t>
      </w:r>
      <w:r w:rsidRPr="00906B86">
        <w:rPr>
          <w:rFonts w:asciiTheme="majorBidi" w:hAnsiTheme="majorBidi" w:cstheme="majorBidi"/>
          <w:color w:val="000000"/>
          <w:sz w:val="28"/>
          <w:szCs w:val="28"/>
        </w:rPr>
        <w:t xml:space="preserve"> Therefore, PDD in the ini</w:t>
      </w:r>
      <w:r>
        <w:rPr>
          <w:rFonts w:asciiTheme="majorBidi" w:hAnsiTheme="majorBidi" w:cstheme="majorBidi"/>
          <w:color w:val="000000"/>
          <w:sz w:val="28"/>
          <w:szCs w:val="28"/>
        </w:rPr>
        <w:t>tial TURB is highly recommended.</w:t>
      </w:r>
      <w:r w:rsidRPr="00906B86">
        <w:rPr>
          <w:rFonts w:asciiTheme="majorBidi" w:hAnsiTheme="majorBidi" w:cstheme="majorBidi"/>
          <w:color w:val="000000"/>
          <w:sz w:val="28"/>
          <w:szCs w:val="28"/>
        </w:rPr>
        <w:t xml:space="preserve"> Additionally PDD should be performed in patients with multifocal tumors, high-grade tumors in patient’s history, and suspected CIS </w:t>
      </w:r>
      <w:r w:rsidRPr="00906B86">
        <w:rPr>
          <w:rFonts w:asciiTheme="majorBidi" w:hAnsiTheme="majorBidi" w:cstheme="majorBidi"/>
          <w:b/>
          <w:bCs/>
          <w:i/>
          <w:iCs/>
          <w:color w:val="000000"/>
          <w:sz w:val="28"/>
          <w:szCs w:val="28"/>
        </w:rPr>
        <w:t>(Babjuk et al. </w:t>
      </w:r>
      <w:hyperlink r:id="rId16" w:anchor="CR1" w:tooltip="View reference" w:history="1">
        <w:r w:rsidRPr="00906B86">
          <w:rPr>
            <w:rFonts w:asciiTheme="majorBidi" w:hAnsiTheme="majorBidi" w:cstheme="majorBidi"/>
            <w:b/>
            <w:bCs/>
            <w:i/>
            <w:iCs/>
            <w:color w:val="000000"/>
            <w:sz w:val="28"/>
            <w:szCs w:val="28"/>
          </w:rPr>
          <w:t>2015</w:t>
        </w:r>
      </w:hyperlink>
      <w:r w:rsidRPr="00906B86">
        <w:rPr>
          <w:rFonts w:asciiTheme="majorBidi" w:hAnsiTheme="majorBidi" w:cstheme="majorBidi"/>
          <w:b/>
          <w:bCs/>
          <w:i/>
          <w:iCs/>
          <w:color w:val="000000"/>
          <w:sz w:val="28"/>
          <w:szCs w:val="28"/>
        </w:rPr>
        <w:t>).</w:t>
      </w:r>
    </w:p>
    <w:p w14:paraId="7EC172B6" w14:textId="77777777" w:rsidR="00C03CB5" w:rsidRPr="00BD2DAA" w:rsidRDefault="00C03CB5" w:rsidP="00746560">
      <w:pPr>
        <w:spacing w:before="240" w:after="240"/>
        <w:ind w:firstLine="0"/>
        <w:jc w:val="center"/>
        <w:rPr>
          <w:rFonts w:asciiTheme="majorBidi" w:hAnsiTheme="majorBidi" w:cstheme="majorBidi"/>
          <w:color w:val="000000"/>
          <w:sz w:val="28"/>
          <w:szCs w:val="28"/>
        </w:rPr>
      </w:pPr>
      <w:r w:rsidRPr="00906B86">
        <w:rPr>
          <w:rFonts w:asciiTheme="majorBidi" w:hAnsiTheme="majorBidi" w:cstheme="majorBidi"/>
          <w:noProof/>
          <w:color w:val="000000"/>
          <w:sz w:val="28"/>
          <w:szCs w:val="28"/>
        </w:rPr>
        <w:drawing>
          <wp:inline distT="0" distB="0" distL="0" distR="0" wp14:anchorId="2598F61D" wp14:editId="78268309">
            <wp:extent cx="4664710" cy="1895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1232" t="20645" r="10197" b="30778"/>
                    <a:stretch/>
                  </pic:blipFill>
                  <pic:spPr bwMode="auto">
                    <a:xfrm>
                      <a:off x="0" y="0"/>
                      <a:ext cx="4664710" cy="1895475"/>
                    </a:xfrm>
                    <a:prstGeom prst="rect">
                      <a:avLst/>
                    </a:prstGeom>
                    <a:ln>
                      <a:noFill/>
                    </a:ln>
                    <a:extLst>
                      <a:ext uri="{53640926-AAD7-44D8-BBD7-CCE9431645EC}">
                        <a14:shadowObscured xmlns:a14="http://schemas.microsoft.com/office/drawing/2010/main"/>
                      </a:ext>
                    </a:extLst>
                  </pic:spPr>
                </pic:pic>
              </a:graphicData>
            </a:graphic>
          </wp:inline>
        </w:drawing>
      </w:r>
    </w:p>
    <w:p w14:paraId="5E5ABB8F" w14:textId="56C345BC" w:rsidR="00C03CB5" w:rsidRPr="00865361" w:rsidRDefault="00C03CB5" w:rsidP="00476F41">
      <w:pPr>
        <w:spacing w:before="240" w:after="240"/>
        <w:jc w:val="center"/>
        <w:rPr>
          <w:rFonts w:asciiTheme="majorBidi" w:hAnsiTheme="majorBidi" w:cstheme="majorBidi"/>
          <w:i/>
          <w:iCs/>
          <w:color w:val="000000"/>
          <w:sz w:val="26"/>
          <w:szCs w:val="26"/>
        </w:rPr>
      </w:pPr>
      <w:r w:rsidRPr="00865361">
        <w:rPr>
          <w:rFonts w:asciiTheme="majorBidi" w:hAnsiTheme="majorBidi" w:cstheme="majorBidi"/>
          <w:b/>
          <w:bCs/>
          <w:color w:val="000000"/>
          <w:sz w:val="26"/>
          <w:szCs w:val="26"/>
        </w:rPr>
        <w:t>Fig</w:t>
      </w:r>
      <w:r w:rsidR="00476F41">
        <w:rPr>
          <w:rFonts w:asciiTheme="majorBidi" w:hAnsiTheme="majorBidi" w:cstheme="majorBidi"/>
          <w:b/>
          <w:bCs/>
          <w:color w:val="000000"/>
          <w:sz w:val="26"/>
          <w:szCs w:val="26"/>
        </w:rPr>
        <w:t>ure</w:t>
      </w:r>
      <w:r w:rsidR="005E73DB">
        <w:rPr>
          <w:rFonts w:asciiTheme="majorBidi" w:hAnsiTheme="majorBidi" w:cstheme="majorBidi"/>
          <w:b/>
          <w:bCs/>
          <w:color w:val="000000"/>
          <w:sz w:val="26"/>
          <w:szCs w:val="26"/>
        </w:rPr>
        <w:t xml:space="preserve"> </w:t>
      </w:r>
      <w:r w:rsidRPr="00865361">
        <w:rPr>
          <w:rFonts w:asciiTheme="majorBidi" w:hAnsiTheme="majorBidi" w:cstheme="majorBidi"/>
          <w:b/>
          <w:bCs/>
          <w:color w:val="000000"/>
          <w:sz w:val="26"/>
          <w:szCs w:val="26"/>
        </w:rPr>
        <w:t>(</w:t>
      </w:r>
      <w:r w:rsidR="00476F41">
        <w:rPr>
          <w:rFonts w:asciiTheme="majorBidi" w:hAnsiTheme="majorBidi" w:cstheme="majorBidi"/>
          <w:b/>
          <w:bCs/>
          <w:color w:val="000000"/>
          <w:sz w:val="26"/>
          <w:szCs w:val="26"/>
        </w:rPr>
        <w:t>3</w:t>
      </w:r>
      <w:r w:rsidRPr="00865361">
        <w:rPr>
          <w:rFonts w:asciiTheme="majorBidi" w:hAnsiTheme="majorBidi" w:cstheme="majorBidi"/>
          <w:b/>
          <w:bCs/>
          <w:color w:val="000000"/>
          <w:sz w:val="26"/>
          <w:szCs w:val="26"/>
        </w:rPr>
        <w:t xml:space="preserve">): </w:t>
      </w:r>
      <w:r w:rsidRPr="00865361">
        <w:rPr>
          <w:rFonts w:asciiTheme="majorBidi" w:hAnsiTheme="majorBidi" w:cstheme="majorBidi"/>
          <w:color w:val="000000"/>
          <w:sz w:val="26"/>
          <w:szCs w:val="26"/>
        </w:rPr>
        <w:t xml:space="preserve">Field of pTa G2 bladder tumor with photodynamic diagnosis (right) versus white light cystoscopy (left) </w:t>
      </w:r>
      <w:r w:rsidRPr="00865361">
        <w:rPr>
          <w:rFonts w:asciiTheme="majorBidi" w:hAnsiTheme="majorBidi" w:cstheme="majorBidi"/>
          <w:b/>
          <w:bCs/>
          <w:i/>
          <w:iCs/>
          <w:color w:val="000000"/>
          <w:sz w:val="26"/>
          <w:szCs w:val="26"/>
        </w:rPr>
        <w:t>(Cauberg Evelyne et al., 2011)</w:t>
      </w:r>
      <w:r w:rsidRPr="00865361">
        <w:rPr>
          <w:rFonts w:asciiTheme="majorBidi" w:hAnsiTheme="majorBidi" w:cstheme="majorBidi"/>
          <w:i/>
          <w:iCs/>
          <w:color w:val="000000"/>
          <w:sz w:val="26"/>
          <w:szCs w:val="26"/>
        </w:rPr>
        <w:t>.</w:t>
      </w:r>
    </w:p>
    <w:p w14:paraId="59DA3823" w14:textId="77777777" w:rsidR="00C03CB5" w:rsidRPr="00BD2DAA" w:rsidRDefault="001B52F0" w:rsidP="001B52F0">
      <w:pPr>
        <w:spacing w:before="120" w:after="240"/>
        <w:ind w:left="360" w:firstLine="0"/>
        <w:rPr>
          <w:rFonts w:asciiTheme="majorBidi" w:hAnsiTheme="majorBidi" w:cstheme="majorBidi"/>
          <w:i/>
          <w:iCs/>
          <w:color w:val="000000"/>
          <w:sz w:val="28"/>
          <w:szCs w:val="28"/>
        </w:rPr>
      </w:pPr>
      <w:r>
        <w:rPr>
          <w:rFonts w:asciiTheme="majorBidi" w:hAnsiTheme="majorBidi" w:cstheme="majorBidi"/>
          <w:b/>
          <w:bCs/>
          <w:i/>
          <w:iCs/>
          <w:color w:val="000000"/>
          <w:sz w:val="28"/>
          <w:szCs w:val="28"/>
        </w:rPr>
        <w:t>-</w:t>
      </w:r>
      <w:r w:rsidR="008329C3" w:rsidRPr="001B52F0">
        <w:rPr>
          <w:rFonts w:asciiTheme="majorBidi" w:hAnsiTheme="majorBidi" w:cstheme="majorBidi"/>
          <w:b/>
          <w:bCs/>
          <w:i/>
          <w:iCs/>
          <w:color w:val="000000"/>
          <w:sz w:val="28"/>
          <w:szCs w:val="28"/>
        </w:rPr>
        <w:t xml:space="preserve"> </w:t>
      </w:r>
      <w:r w:rsidR="00C03CB5" w:rsidRPr="001B52F0">
        <w:rPr>
          <w:rFonts w:asciiTheme="majorBidi" w:hAnsiTheme="majorBidi" w:cstheme="majorBidi"/>
          <w:b/>
          <w:bCs/>
          <w:i/>
          <w:iCs/>
          <w:color w:val="000000"/>
          <w:sz w:val="28"/>
          <w:szCs w:val="28"/>
        </w:rPr>
        <w:t>Narrow-band imaging (NBI):</w:t>
      </w:r>
      <w:r>
        <w:rPr>
          <w:rFonts w:asciiTheme="majorBidi" w:hAnsiTheme="majorBidi" w:cstheme="majorBidi"/>
          <w:i/>
          <w:iCs/>
          <w:color w:val="000000"/>
          <w:sz w:val="28"/>
          <w:szCs w:val="28"/>
        </w:rPr>
        <w:t xml:space="preserve"> </w:t>
      </w:r>
      <w:r w:rsidR="00C03CB5" w:rsidRPr="00BD2DAA">
        <w:rPr>
          <w:rFonts w:asciiTheme="majorBidi" w:hAnsiTheme="majorBidi" w:cstheme="majorBidi"/>
          <w:color w:val="000000"/>
          <w:sz w:val="28"/>
          <w:szCs w:val="28"/>
        </w:rPr>
        <w:t xml:space="preserve">is a </w:t>
      </w:r>
      <w:proofErr w:type="gramStart"/>
      <w:r w:rsidR="00C03CB5" w:rsidRPr="00BD2DAA">
        <w:rPr>
          <w:rFonts w:asciiTheme="majorBidi" w:hAnsiTheme="majorBidi" w:cstheme="majorBidi"/>
          <w:color w:val="000000"/>
          <w:sz w:val="28"/>
          <w:szCs w:val="28"/>
        </w:rPr>
        <w:t>straight forward</w:t>
      </w:r>
      <w:proofErr w:type="gramEnd"/>
      <w:r w:rsidR="00C03CB5" w:rsidRPr="00BD2DAA">
        <w:rPr>
          <w:rFonts w:asciiTheme="majorBidi" w:hAnsiTheme="majorBidi" w:cstheme="majorBidi"/>
          <w:color w:val="000000"/>
          <w:sz w:val="28"/>
          <w:szCs w:val="28"/>
        </w:rPr>
        <w:t xml:space="preserve"> optical technique</w:t>
      </w:r>
      <w:r w:rsidR="00C03CB5" w:rsidRPr="00BD2DAA">
        <w:rPr>
          <w:rFonts w:asciiTheme="majorBidi" w:hAnsiTheme="majorBidi" w:cstheme="majorBidi"/>
          <w:color w:val="000000"/>
          <w:sz w:val="28"/>
          <w:szCs w:val="28"/>
        </w:rPr>
        <w:br/>
        <w:t>designed for endoscopy to enhance the visualization of (sub) mucosal</w:t>
      </w:r>
      <w:r w:rsidR="00C03CB5" w:rsidRPr="00BD2DAA">
        <w:rPr>
          <w:rFonts w:asciiTheme="majorBidi" w:hAnsiTheme="majorBidi" w:cstheme="majorBidi"/>
          <w:color w:val="000000"/>
          <w:sz w:val="28"/>
          <w:szCs w:val="28"/>
        </w:rPr>
        <w:br/>
        <w:t>vessels. The working mechanism is based on the filtering of white light into two narrow bandwidths of light that are centered around 415 nm</w:t>
      </w:r>
      <w:r w:rsidR="00C03CB5" w:rsidRPr="00BD2DAA">
        <w:rPr>
          <w:rFonts w:asciiTheme="majorBidi" w:hAnsiTheme="majorBidi" w:cstheme="majorBidi"/>
          <w:color w:val="000000"/>
          <w:sz w:val="28"/>
          <w:szCs w:val="28"/>
        </w:rPr>
        <w:br/>
        <w:t>(blue light) and 540 nm (green light), which penetrate tissue only</w:t>
      </w:r>
      <w:r w:rsidR="00C03CB5" w:rsidRPr="00BD2DAA">
        <w:rPr>
          <w:rFonts w:asciiTheme="majorBidi" w:hAnsiTheme="majorBidi" w:cstheme="majorBidi"/>
          <w:color w:val="000000"/>
          <w:sz w:val="28"/>
          <w:szCs w:val="28"/>
        </w:rPr>
        <w:br/>
        <w:t xml:space="preserve">superficially and are specifically absorbed by hemoglobin </w:t>
      </w:r>
      <w:r w:rsidR="00C03CB5" w:rsidRPr="00BD2DAA">
        <w:rPr>
          <w:rFonts w:asciiTheme="majorBidi" w:hAnsiTheme="majorBidi" w:cstheme="majorBidi"/>
          <w:b/>
          <w:bCs/>
          <w:i/>
          <w:iCs/>
          <w:color w:val="000000"/>
          <w:sz w:val="28"/>
          <w:szCs w:val="28"/>
        </w:rPr>
        <w:t>(Song et al.,</w:t>
      </w:r>
      <w:r w:rsidR="00C03CB5" w:rsidRPr="00BD2DAA">
        <w:rPr>
          <w:rFonts w:asciiTheme="majorBidi" w:hAnsiTheme="majorBidi" w:cstheme="majorBidi"/>
          <w:color w:val="000000"/>
          <w:sz w:val="28"/>
          <w:szCs w:val="28"/>
        </w:rPr>
        <w:br/>
      </w:r>
      <w:r w:rsidR="00C03CB5" w:rsidRPr="00BD2DAA">
        <w:rPr>
          <w:rFonts w:asciiTheme="majorBidi" w:hAnsiTheme="majorBidi" w:cstheme="majorBidi"/>
          <w:b/>
          <w:bCs/>
          <w:i/>
          <w:iCs/>
          <w:color w:val="000000"/>
          <w:sz w:val="28"/>
          <w:szCs w:val="28"/>
        </w:rPr>
        <w:t>2008)</w:t>
      </w:r>
      <w:r w:rsidR="00C03CB5" w:rsidRPr="00BD2DAA">
        <w:rPr>
          <w:rFonts w:asciiTheme="majorBidi" w:hAnsiTheme="majorBidi" w:cstheme="majorBidi"/>
          <w:color w:val="000000"/>
          <w:sz w:val="28"/>
          <w:szCs w:val="28"/>
        </w:rPr>
        <w:t xml:space="preserve">. Because bladder tumors tend to be well vascularised, </w:t>
      </w:r>
      <w:proofErr w:type="gramStart"/>
      <w:r w:rsidR="00C03CB5" w:rsidRPr="00BD2DAA">
        <w:rPr>
          <w:rFonts w:asciiTheme="majorBidi" w:hAnsiTheme="majorBidi" w:cstheme="majorBidi"/>
          <w:color w:val="000000"/>
          <w:sz w:val="28"/>
          <w:szCs w:val="28"/>
        </w:rPr>
        <w:t>narrow-band</w:t>
      </w:r>
      <w:proofErr w:type="gramEnd"/>
      <w:r w:rsidR="00C03CB5" w:rsidRPr="00BD2DAA">
        <w:rPr>
          <w:rFonts w:asciiTheme="majorBidi" w:hAnsiTheme="majorBidi" w:cstheme="majorBidi"/>
          <w:color w:val="000000"/>
          <w:sz w:val="28"/>
          <w:szCs w:val="28"/>
        </w:rPr>
        <w:br/>
        <w:t>imaging will increase the contrast between these lesions and normal</w:t>
      </w:r>
      <w:r w:rsidR="00C03CB5" w:rsidRPr="00BD2DAA">
        <w:rPr>
          <w:rFonts w:asciiTheme="majorBidi" w:hAnsiTheme="majorBidi" w:cstheme="majorBidi"/>
          <w:color w:val="000000"/>
          <w:sz w:val="28"/>
          <w:szCs w:val="28"/>
        </w:rPr>
        <w:br/>
        <w:t>bladder mucosa (</w:t>
      </w:r>
      <w:r w:rsidR="000E7A26">
        <w:rPr>
          <w:rFonts w:asciiTheme="majorBidi" w:hAnsiTheme="majorBidi" w:cstheme="majorBidi"/>
          <w:color w:val="000000"/>
          <w:sz w:val="28"/>
          <w:szCs w:val="28"/>
        </w:rPr>
        <w:t xml:space="preserve">figure </w:t>
      </w:r>
      <w:r w:rsidR="00476F41">
        <w:rPr>
          <w:rFonts w:asciiTheme="majorBidi" w:hAnsiTheme="majorBidi" w:cstheme="majorBidi"/>
          <w:color w:val="000000"/>
          <w:sz w:val="28"/>
          <w:szCs w:val="28"/>
        </w:rPr>
        <w:t>4</w:t>
      </w:r>
      <w:r w:rsidR="00C03CB5" w:rsidRPr="00BD2DAA">
        <w:rPr>
          <w:rFonts w:asciiTheme="majorBidi" w:hAnsiTheme="majorBidi" w:cstheme="majorBidi"/>
          <w:color w:val="000000"/>
          <w:sz w:val="28"/>
          <w:szCs w:val="28"/>
        </w:rPr>
        <w:t xml:space="preserve">) </w:t>
      </w:r>
      <w:r w:rsidR="00C03CB5" w:rsidRPr="00BD2DAA">
        <w:rPr>
          <w:rFonts w:asciiTheme="majorBidi" w:hAnsiTheme="majorBidi" w:cstheme="majorBidi"/>
          <w:b/>
          <w:bCs/>
          <w:i/>
          <w:iCs/>
          <w:color w:val="000000"/>
          <w:sz w:val="28"/>
          <w:szCs w:val="28"/>
        </w:rPr>
        <w:t>(</w:t>
      </w:r>
      <w:bookmarkStart w:id="23" w:name="_Hlk69945081"/>
      <w:r w:rsidR="00C03CB5" w:rsidRPr="00BD2DAA">
        <w:rPr>
          <w:rFonts w:asciiTheme="majorBidi" w:hAnsiTheme="majorBidi" w:cstheme="majorBidi"/>
          <w:b/>
          <w:bCs/>
          <w:i/>
          <w:iCs/>
          <w:color w:val="000000"/>
          <w:sz w:val="28"/>
          <w:szCs w:val="28"/>
        </w:rPr>
        <w:t xml:space="preserve">Cauberg Evelyne </w:t>
      </w:r>
      <w:bookmarkEnd w:id="23"/>
      <w:r w:rsidR="00C03CB5" w:rsidRPr="00BD2DAA">
        <w:rPr>
          <w:rFonts w:asciiTheme="majorBidi" w:hAnsiTheme="majorBidi" w:cstheme="majorBidi"/>
          <w:b/>
          <w:bCs/>
          <w:i/>
          <w:iCs/>
          <w:color w:val="000000"/>
          <w:sz w:val="28"/>
          <w:szCs w:val="28"/>
        </w:rPr>
        <w:t>et al., 2011)</w:t>
      </w:r>
      <w:r w:rsidR="00C03CB5" w:rsidRPr="00BD2DAA">
        <w:rPr>
          <w:rFonts w:asciiTheme="majorBidi" w:hAnsiTheme="majorBidi" w:cstheme="majorBidi"/>
          <w:i/>
          <w:iCs/>
          <w:color w:val="000000"/>
          <w:sz w:val="28"/>
          <w:szCs w:val="28"/>
        </w:rPr>
        <w:t>.</w:t>
      </w:r>
    </w:p>
    <w:p w14:paraId="23A872BB" w14:textId="77777777" w:rsidR="00C03CB5" w:rsidRPr="00BD2DAA" w:rsidRDefault="00C03CB5" w:rsidP="00746560">
      <w:pPr>
        <w:spacing w:before="240" w:after="240" w:line="240" w:lineRule="auto"/>
        <w:ind w:firstLine="0"/>
        <w:jc w:val="center"/>
        <w:rPr>
          <w:rFonts w:asciiTheme="majorBidi" w:hAnsiTheme="majorBidi" w:cstheme="majorBidi"/>
          <w:color w:val="000000"/>
          <w:sz w:val="28"/>
          <w:szCs w:val="28"/>
        </w:rPr>
      </w:pPr>
      <w:r w:rsidRPr="00BD2DAA">
        <w:rPr>
          <w:rFonts w:asciiTheme="majorBidi" w:hAnsiTheme="majorBidi" w:cstheme="majorBidi"/>
          <w:noProof/>
        </w:rPr>
        <w:lastRenderedPageBreak/>
        <w:drawing>
          <wp:inline distT="0" distB="0" distL="0" distR="0" wp14:anchorId="787DDB90" wp14:editId="0F5D27B7">
            <wp:extent cx="4572000" cy="16192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0413" t="29659" r="11876" b="26704"/>
                    <a:stretch/>
                  </pic:blipFill>
                  <pic:spPr bwMode="auto">
                    <a:xfrm>
                      <a:off x="0" y="0"/>
                      <a:ext cx="4588797" cy="1625199"/>
                    </a:xfrm>
                    <a:prstGeom prst="rect">
                      <a:avLst/>
                    </a:prstGeom>
                    <a:ln>
                      <a:noFill/>
                    </a:ln>
                    <a:extLst>
                      <a:ext uri="{53640926-AAD7-44D8-BBD7-CCE9431645EC}">
                        <a14:shadowObscured xmlns:a14="http://schemas.microsoft.com/office/drawing/2010/main"/>
                      </a:ext>
                    </a:extLst>
                  </pic:spPr>
                </pic:pic>
              </a:graphicData>
            </a:graphic>
          </wp:inline>
        </w:drawing>
      </w:r>
    </w:p>
    <w:p w14:paraId="10462583" w14:textId="3DB38814" w:rsidR="00242BF4" w:rsidRPr="00594E5E" w:rsidRDefault="00C03CB5" w:rsidP="00594E5E">
      <w:pPr>
        <w:pStyle w:val="ListParagraph"/>
        <w:spacing w:before="240" w:after="240" w:line="360" w:lineRule="auto"/>
        <w:ind w:left="1004" w:hanging="1004"/>
        <w:jc w:val="center"/>
        <w:rPr>
          <w:rFonts w:asciiTheme="majorBidi" w:hAnsiTheme="majorBidi" w:cstheme="majorBidi"/>
          <w:b/>
          <w:bCs/>
          <w:i/>
          <w:iCs/>
          <w:color w:val="000000"/>
          <w:sz w:val="28"/>
          <w:szCs w:val="28"/>
        </w:rPr>
      </w:pPr>
      <w:r w:rsidRPr="005E73DB">
        <w:rPr>
          <w:rFonts w:asciiTheme="majorBidi" w:hAnsiTheme="majorBidi" w:cstheme="majorBidi"/>
          <w:b/>
          <w:bCs/>
          <w:color w:val="000000"/>
          <w:sz w:val="28"/>
          <w:szCs w:val="28"/>
        </w:rPr>
        <w:t>Fig</w:t>
      </w:r>
      <w:r w:rsidR="00476F41" w:rsidRPr="005E73DB">
        <w:rPr>
          <w:rFonts w:asciiTheme="majorBidi" w:hAnsiTheme="majorBidi" w:cstheme="majorBidi"/>
          <w:b/>
          <w:bCs/>
          <w:color w:val="000000"/>
          <w:sz w:val="28"/>
          <w:szCs w:val="28"/>
        </w:rPr>
        <w:t xml:space="preserve">ure </w:t>
      </w:r>
      <w:r w:rsidRPr="005E73DB">
        <w:rPr>
          <w:rFonts w:asciiTheme="majorBidi" w:hAnsiTheme="majorBidi" w:cstheme="majorBidi"/>
          <w:b/>
          <w:bCs/>
          <w:color w:val="000000"/>
          <w:sz w:val="28"/>
          <w:szCs w:val="28"/>
        </w:rPr>
        <w:t>(</w:t>
      </w:r>
      <w:r w:rsidR="00476F41" w:rsidRPr="005E73DB">
        <w:rPr>
          <w:rFonts w:asciiTheme="majorBidi" w:hAnsiTheme="majorBidi" w:cstheme="majorBidi"/>
          <w:b/>
          <w:bCs/>
          <w:color w:val="000000"/>
          <w:sz w:val="28"/>
          <w:szCs w:val="28"/>
        </w:rPr>
        <w:t>4</w:t>
      </w:r>
      <w:r w:rsidRPr="005E73DB">
        <w:rPr>
          <w:rFonts w:asciiTheme="majorBidi" w:hAnsiTheme="majorBidi" w:cstheme="majorBidi"/>
          <w:b/>
          <w:bCs/>
          <w:color w:val="000000"/>
          <w:sz w:val="28"/>
          <w:szCs w:val="28"/>
        </w:rPr>
        <w:t>):</w:t>
      </w:r>
      <w:r w:rsidRPr="000A28B3">
        <w:rPr>
          <w:rFonts w:asciiTheme="majorBidi" w:hAnsiTheme="majorBidi" w:cstheme="majorBidi"/>
          <w:color w:val="000000"/>
          <w:sz w:val="28"/>
          <w:szCs w:val="28"/>
        </w:rPr>
        <w:t xml:space="preserve"> Field of pTa G2 bladder tumor with narrow-band imaging (right) versus white light cystoscopy (left) </w:t>
      </w:r>
      <w:r w:rsidRPr="000A28B3">
        <w:rPr>
          <w:rFonts w:asciiTheme="majorBidi" w:hAnsiTheme="majorBidi" w:cstheme="majorBidi"/>
          <w:b/>
          <w:bCs/>
          <w:i/>
          <w:iCs/>
          <w:color w:val="000000"/>
          <w:sz w:val="28"/>
          <w:szCs w:val="28"/>
        </w:rPr>
        <w:t>(</w:t>
      </w:r>
      <w:r w:rsidR="008B47D6" w:rsidRPr="00BD2DAA">
        <w:rPr>
          <w:rFonts w:asciiTheme="majorBidi" w:hAnsiTheme="majorBidi" w:cstheme="majorBidi"/>
          <w:b/>
          <w:bCs/>
          <w:i/>
          <w:iCs/>
          <w:color w:val="000000"/>
          <w:sz w:val="28"/>
          <w:szCs w:val="28"/>
        </w:rPr>
        <w:t>Cauberg Evelyne</w:t>
      </w:r>
      <w:r w:rsidRPr="000A28B3">
        <w:rPr>
          <w:rFonts w:asciiTheme="majorBidi" w:hAnsiTheme="majorBidi" w:cstheme="majorBidi"/>
          <w:b/>
          <w:bCs/>
          <w:i/>
          <w:iCs/>
          <w:color w:val="000000"/>
          <w:sz w:val="28"/>
          <w:szCs w:val="28"/>
        </w:rPr>
        <w:t xml:space="preserve"> et al., 2011).</w:t>
      </w:r>
    </w:p>
    <w:p w14:paraId="6E19C131" w14:textId="77777777" w:rsidR="00C03CB5" w:rsidRPr="00BD2DAA" w:rsidRDefault="00C03CB5" w:rsidP="001B52F0">
      <w:pPr>
        <w:tabs>
          <w:tab w:val="left" w:pos="270"/>
          <w:tab w:val="left" w:pos="900"/>
        </w:tabs>
        <w:spacing w:before="240" w:after="240"/>
        <w:ind w:firstLine="0"/>
        <w:rPr>
          <w:rFonts w:asciiTheme="majorBidi" w:hAnsiTheme="majorBidi" w:cstheme="majorBidi"/>
          <w:color w:val="000000"/>
          <w:sz w:val="28"/>
          <w:szCs w:val="28"/>
        </w:rPr>
      </w:pPr>
      <w:r w:rsidRPr="0034023C">
        <w:rPr>
          <w:rFonts w:asciiTheme="majorBidi" w:hAnsiTheme="majorBidi" w:cstheme="majorBidi"/>
          <w:b/>
          <w:bCs/>
          <w:i/>
          <w:iCs/>
          <w:color w:val="000000"/>
          <w:sz w:val="28"/>
          <w:szCs w:val="28"/>
          <w:u w:val="single"/>
        </w:rPr>
        <w:t>C. Imaging:</w:t>
      </w:r>
      <w:r>
        <w:rPr>
          <w:rFonts w:asciiTheme="majorBidi" w:hAnsiTheme="majorBidi" w:cstheme="majorBidi"/>
          <w:color w:val="000000"/>
          <w:sz w:val="28"/>
          <w:szCs w:val="28"/>
        </w:rPr>
        <w:t xml:space="preserve"> </w:t>
      </w:r>
      <w:r w:rsidRPr="00BD2DAA">
        <w:rPr>
          <w:rFonts w:asciiTheme="majorBidi" w:hAnsiTheme="majorBidi" w:cstheme="majorBidi"/>
          <w:color w:val="000000"/>
          <w:sz w:val="28"/>
          <w:szCs w:val="28"/>
        </w:rPr>
        <w:t>Ultrasonography is being used more frequently and is</w:t>
      </w:r>
      <w:r w:rsidRPr="00BD2DAA">
        <w:rPr>
          <w:rFonts w:asciiTheme="majorBidi" w:hAnsiTheme="majorBidi" w:cstheme="majorBidi"/>
          <w:color w:val="000000"/>
          <w:sz w:val="28"/>
          <w:szCs w:val="28"/>
        </w:rPr>
        <w:br/>
        <w:t>advantageous because it does not require contrast agents</w:t>
      </w:r>
      <w:r w:rsidR="001B52F0">
        <w:rPr>
          <w:rFonts w:asciiTheme="majorBidi" w:hAnsiTheme="majorBidi" w:cstheme="majorBidi"/>
          <w:color w:val="000000"/>
          <w:sz w:val="28"/>
          <w:szCs w:val="28"/>
        </w:rPr>
        <w:t xml:space="preserve">. </w:t>
      </w:r>
      <w:r w:rsidRPr="00BD2DAA">
        <w:rPr>
          <w:rFonts w:asciiTheme="majorBidi" w:hAnsiTheme="majorBidi" w:cstheme="majorBidi"/>
          <w:color w:val="000000"/>
          <w:sz w:val="28"/>
          <w:szCs w:val="28"/>
        </w:rPr>
        <w:t>Imaging with computerised tomography (CT) scan has essentially</w:t>
      </w:r>
      <w:r w:rsidRPr="00BD2DAA">
        <w:rPr>
          <w:rFonts w:asciiTheme="majorBidi" w:hAnsiTheme="majorBidi" w:cstheme="majorBidi"/>
          <w:color w:val="000000"/>
          <w:sz w:val="28"/>
          <w:szCs w:val="28"/>
        </w:rPr>
        <w:br/>
        <w:t xml:space="preserve">replaced </w:t>
      </w:r>
      <w:bookmarkStart w:id="24" w:name="_Hlk71752955"/>
      <w:r w:rsidRPr="00BD2DAA">
        <w:rPr>
          <w:rFonts w:asciiTheme="majorBidi" w:hAnsiTheme="majorBidi" w:cstheme="majorBidi"/>
          <w:color w:val="000000"/>
          <w:sz w:val="28"/>
          <w:szCs w:val="28"/>
        </w:rPr>
        <w:t>intravenous pyelograms</w:t>
      </w:r>
      <w:r w:rsidR="001E2E25">
        <w:rPr>
          <w:rFonts w:asciiTheme="majorBidi" w:hAnsiTheme="majorBidi" w:cstheme="majorBidi"/>
          <w:color w:val="000000"/>
          <w:sz w:val="28"/>
          <w:szCs w:val="28"/>
        </w:rPr>
        <w:t xml:space="preserve"> </w:t>
      </w:r>
      <w:r w:rsidRPr="00BD2DAA">
        <w:rPr>
          <w:rFonts w:asciiTheme="majorBidi" w:hAnsiTheme="majorBidi" w:cstheme="majorBidi"/>
          <w:color w:val="000000"/>
          <w:sz w:val="28"/>
          <w:szCs w:val="28"/>
        </w:rPr>
        <w:t>(IVP</w:t>
      </w:r>
      <w:bookmarkEnd w:id="24"/>
      <w:r w:rsidRPr="00BD2DAA">
        <w:rPr>
          <w:rFonts w:asciiTheme="majorBidi" w:hAnsiTheme="majorBidi" w:cstheme="majorBidi"/>
          <w:color w:val="000000"/>
          <w:sz w:val="28"/>
          <w:szCs w:val="28"/>
        </w:rPr>
        <w:t xml:space="preserve">) in many centers. </w:t>
      </w:r>
      <w:bookmarkStart w:id="25" w:name="_Hlk71752995"/>
      <w:r w:rsidRPr="00BD2DAA">
        <w:rPr>
          <w:rFonts w:asciiTheme="majorBidi" w:hAnsiTheme="majorBidi" w:cstheme="majorBidi"/>
          <w:color w:val="000000"/>
          <w:sz w:val="28"/>
          <w:szCs w:val="28"/>
        </w:rPr>
        <w:t>Magnetic</w:t>
      </w:r>
      <w:r w:rsidRPr="00BD2DAA">
        <w:rPr>
          <w:rFonts w:asciiTheme="majorBidi" w:hAnsiTheme="majorBidi" w:cstheme="majorBidi"/>
          <w:color w:val="000000"/>
          <w:sz w:val="28"/>
          <w:szCs w:val="28"/>
        </w:rPr>
        <w:br/>
        <w:t>resonance imaging (MRI</w:t>
      </w:r>
      <w:bookmarkEnd w:id="25"/>
      <w:r w:rsidRPr="00BD2DAA">
        <w:rPr>
          <w:rFonts w:asciiTheme="majorBidi" w:hAnsiTheme="majorBidi" w:cstheme="majorBidi"/>
          <w:color w:val="000000"/>
          <w:sz w:val="28"/>
          <w:szCs w:val="28"/>
        </w:rPr>
        <w:t>) had been a reliable modality for patients with</w:t>
      </w:r>
      <w:r w:rsidRPr="00BD2DAA">
        <w:rPr>
          <w:rFonts w:asciiTheme="majorBidi" w:hAnsiTheme="majorBidi" w:cstheme="majorBidi"/>
          <w:color w:val="000000"/>
          <w:sz w:val="28"/>
          <w:szCs w:val="28"/>
        </w:rPr>
        <w:br/>
        <w:t>renal failure. CT scan and MRI may be used to determine the stage of</w:t>
      </w:r>
      <w:r w:rsidRPr="00BD2DAA">
        <w:rPr>
          <w:rFonts w:asciiTheme="majorBidi" w:hAnsiTheme="majorBidi" w:cstheme="majorBidi"/>
          <w:color w:val="000000"/>
          <w:sz w:val="28"/>
          <w:szCs w:val="28"/>
        </w:rPr>
        <w:br/>
        <w:t>bladder cancer; however, they are unable to accurately detect early</w:t>
      </w:r>
      <w:r w:rsidRPr="00BD2DAA">
        <w:rPr>
          <w:rFonts w:asciiTheme="majorBidi" w:hAnsiTheme="majorBidi" w:cstheme="majorBidi"/>
          <w:color w:val="000000"/>
          <w:sz w:val="28"/>
          <w:szCs w:val="28"/>
        </w:rPr>
        <w:br/>
        <w:t xml:space="preserve">metastatic disease particularly in normal-sized lymph nodes </w:t>
      </w:r>
      <w:r w:rsidRPr="00BD2DAA">
        <w:rPr>
          <w:rFonts w:asciiTheme="majorBidi" w:hAnsiTheme="majorBidi" w:cstheme="majorBidi"/>
          <w:b/>
          <w:bCs/>
          <w:i/>
          <w:iCs/>
          <w:color w:val="000000"/>
          <w:sz w:val="28"/>
          <w:szCs w:val="28"/>
        </w:rPr>
        <w:t>(Jacobs et</w:t>
      </w:r>
      <w:r w:rsidRPr="00BD2DAA">
        <w:rPr>
          <w:rFonts w:asciiTheme="majorBidi" w:hAnsiTheme="majorBidi" w:cstheme="majorBidi"/>
          <w:color w:val="000000"/>
          <w:sz w:val="28"/>
          <w:szCs w:val="28"/>
        </w:rPr>
        <w:br/>
      </w:r>
      <w:r w:rsidRPr="00BD2DAA">
        <w:rPr>
          <w:rFonts w:asciiTheme="majorBidi" w:hAnsiTheme="majorBidi" w:cstheme="majorBidi"/>
          <w:b/>
          <w:bCs/>
          <w:i/>
          <w:iCs/>
          <w:color w:val="000000"/>
          <w:sz w:val="28"/>
          <w:szCs w:val="28"/>
        </w:rPr>
        <w:t>al., 2010)</w:t>
      </w:r>
      <w:r w:rsidRPr="00BD2DAA">
        <w:rPr>
          <w:rFonts w:asciiTheme="majorBidi" w:hAnsiTheme="majorBidi" w:cstheme="majorBidi"/>
          <w:color w:val="000000"/>
          <w:sz w:val="28"/>
          <w:szCs w:val="28"/>
        </w:rPr>
        <w:t>.</w:t>
      </w:r>
    </w:p>
    <w:p w14:paraId="6D157440" w14:textId="702B7317" w:rsidR="00C03CB5" w:rsidRPr="00BD2DAA" w:rsidRDefault="00C03CB5" w:rsidP="0019483D">
      <w:pPr>
        <w:spacing w:before="240" w:after="240"/>
        <w:ind w:firstLine="0"/>
        <w:rPr>
          <w:rFonts w:asciiTheme="majorBidi" w:hAnsiTheme="majorBidi" w:cstheme="majorBidi"/>
          <w:color w:val="000000"/>
          <w:sz w:val="28"/>
          <w:szCs w:val="28"/>
        </w:rPr>
      </w:pPr>
      <w:r w:rsidRPr="0034023C">
        <w:rPr>
          <w:rFonts w:asciiTheme="majorBidi" w:hAnsiTheme="majorBidi" w:cstheme="majorBidi"/>
          <w:b/>
          <w:bCs/>
          <w:i/>
          <w:iCs/>
          <w:color w:val="000000"/>
          <w:sz w:val="28"/>
          <w:szCs w:val="28"/>
          <w:u w:val="single"/>
        </w:rPr>
        <w:t>D. Molecular markers:</w:t>
      </w:r>
      <w:r w:rsidR="000C027A" w:rsidRPr="000C027A">
        <w:rPr>
          <w:rFonts w:ascii="Georgia" w:hAnsi="Georgia"/>
          <w:color w:val="2E2E2E"/>
        </w:rPr>
        <w:t xml:space="preserve"> </w:t>
      </w:r>
      <w:r w:rsidR="000C027A" w:rsidRPr="000C027A">
        <w:rPr>
          <w:rFonts w:asciiTheme="majorBidi" w:hAnsiTheme="majorBidi" w:cstheme="majorBidi"/>
          <w:color w:val="000000"/>
          <w:sz w:val="28"/>
          <w:szCs w:val="28"/>
        </w:rPr>
        <w:t xml:space="preserve">since the metabolic environment of bladder tumor cells is urine, their direct or induced metabolites will remain in the urine. Some of the metabolites such as telomerase, nuclear matrix protein and bladder tumor antigen have been identified as biomarkers of bladder tumor </w:t>
      </w:r>
      <w:r w:rsidR="000C027A" w:rsidRPr="000C027A">
        <w:rPr>
          <w:rFonts w:asciiTheme="majorBidi" w:hAnsiTheme="majorBidi" w:cstheme="majorBidi"/>
          <w:b/>
          <w:bCs/>
          <w:i/>
          <w:iCs/>
          <w:color w:val="000000"/>
          <w:sz w:val="28"/>
          <w:szCs w:val="28"/>
        </w:rPr>
        <w:t>(</w:t>
      </w:r>
      <w:r w:rsidR="00656115">
        <w:rPr>
          <w:rFonts w:ascii="Times New Roman" w:hAnsi="Times New Roman" w:cs="Times New Roman"/>
          <w:b/>
          <w:bCs/>
          <w:i/>
          <w:iCs/>
          <w:sz w:val="28"/>
          <w:szCs w:val="28"/>
        </w:rPr>
        <w:t>Duquesne</w:t>
      </w:r>
      <w:r w:rsidR="000C027A" w:rsidRPr="000C027A">
        <w:rPr>
          <w:rFonts w:asciiTheme="majorBidi" w:hAnsiTheme="majorBidi" w:cstheme="majorBidi"/>
          <w:b/>
          <w:bCs/>
          <w:i/>
          <w:iCs/>
          <w:color w:val="000000"/>
          <w:sz w:val="28"/>
          <w:szCs w:val="28"/>
        </w:rPr>
        <w:t xml:space="preserve"> et al., 201</w:t>
      </w:r>
      <w:r w:rsidR="00656115">
        <w:rPr>
          <w:rFonts w:asciiTheme="majorBidi" w:hAnsiTheme="majorBidi" w:cstheme="majorBidi"/>
          <w:b/>
          <w:bCs/>
          <w:i/>
          <w:iCs/>
          <w:color w:val="000000"/>
          <w:sz w:val="28"/>
          <w:szCs w:val="28"/>
        </w:rPr>
        <w:t>7</w:t>
      </w:r>
      <w:r w:rsidR="000C027A" w:rsidRPr="000C027A">
        <w:rPr>
          <w:rFonts w:asciiTheme="majorBidi" w:hAnsiTheme="majorBidi" w:cstheme="majorBidi"/>
          <w:b/>
          <w:bCs/>
          <w:i/>
          <w:iCs/>
          <w:color w:val="000000"/>
          <w:sz w:val="28"/>
          <w:szCs w:val="28"/>
        </w:rPr>
        <w:t>)</w:t>
      </w:r>
      <w:r w:rsidR="000C027A" w:rsidRPr="000C027A">
        <w:rPr>
          <w:rFonts w:asciiTheme="majorBidi" w:hAnsiTheme="majorBidi" w:cstheme="majorBidi"/>
          <w:color w:val="000000"/>
          <w:sz w:val="28"/>
          <w:szCs w:val="28"/>
        </w:rPr>
        <w:t xml:space="preserve">. This would provide a new way for the painless and noninvasive diagnosis of bladder cancer </w:t>
      </w:r>
      <w:r w:rsidR="0019483D" w:rsidRPr="0019483D">
        <w:rPr>
          <w:rFonts w:asciiTheme="majorBidi" w:hAnsiTheme="majorBidi" w:cstheme="majorBidi"/>
          <w:b/>
          <w:bCs/>
          <w:i/>
          <w:iCs/>
          <w:color w:val="000000"/>
          <w:sz w:val="28"/>
          <w:szCs w:val="28"/>
        </w:rPr>
        <w:t>(Siravegna et al., 2017)</w:t>
      </w:r>
      <w:r w:rsidR="000C027A" w:rsidRPr="0019483D">
        <w:rPr>
          <w:rFonts w:asciiTheme="majorBidi" w:hAnsiTheme="majorBidi" w:cstheme="majorBidi"/>
          <w:b/>
          <w:bCs/>
          <w:i/>
          <w:iCs/>
          <w:color w:val="000000"/>
          <w:sz w:val="28"/>
          <w:szCs w:val="28"/>
        </w:rPr>
        <w:t>.</w:t>
      </w:r>
      <w:r w:rsidR="000C027A">
        <w:rPr>
          <w:rFonts w:ascii="Georgia" w:hAnsi="Georgia"/>
          <w:color w:val="2E2E2E"/>
        </w:rPr>
        <w:t> </w:t>
      </w:r>
      <w:r>
        <w:rPr>
          <w:rFonts w:asciiTheme="majorBidi" w:hAnsiTheme="majorBidi" w:cstheme="majorBidi"/>
          <w:color w:val="000000"/>
          <w:sz w:val="28"/>
          <w:szCs w:val="28"/>
        </w:rPr>
        <w:t xml:space="preserve"> </w:t>
      </w:r>
      <w:r w:rsidRPr="00BD2DAA">
        <w:rPr>
          <w:rFonts w:asciiTheme="majorBidi" w:hAnsiTheme="majorBidi" w:cstheme="majorBidi"/>
          <w:color w:val="000000"/>
          <w:sz w:val="28"/>
          <w:szCs w:val="28"/>
        </w:rPr>
        <w:t>Numerous urinary markers have been investigated</w:t>
      </w:r>
      <w:r>
        <w:rPr>
          <w:rFonts w:asciiTheme="majorBidi" w:hAnsiTheme="majorBidi" w:cstheme="majorBidi"/>
          <w:color w:val="000000"/>
          <w:sz w:val="28"/>
          <w:szCs w:val="28"/>
        </w:rPr>
        <w:t xml:space="preserve">, with </w:t>
      </w:r>
      <w:r w:rsidRPr="00BD2DAA">
        <w:rPr>
          <w:rFonts w:asciiTheme="majorBidi" w:hAnsiTheme="majorBidi" w:cstheme="majorBidi"/>
          <w:color w:val="000000"/>
          <w:sz w:val="28"/>
          <w:szCs w:val="28"/>
        </w:rPr>
        <w:t xml:space="preserve">the aim of reducing frequency of cystoscopy </w:t>
      </w:r>
      <w:r w:rsidRPr="00BD2DAA">
        <w:rPr>
          <w:rFonts w:asciiTheme="majorBidi" w:hAnsiTheme="majorBidi" w:cstheme="majorBidi"/>
          <w:b/>
          <w:bCs/>
          <w:i/>
          <w:iCs/>
          <w:color w:val="000000"/>
          <w:sz w:val="28"/>
          <w:szCs w:val="28"/>
        </w:rPr>
        <w:t>(Yutkin et al., 2010</w:t>
      </w:r>
      <w:r w:rsidRPr="00BD2DAA">
        <w:rPr>
          <w:rFonts w:asciiTheme="majorBidi" w:hAnsiTheme="majorBidi" w:cstheme="majorBidi"/>
          <w:b/>
          <w:bCs/>
          <w:color w:val="000000"/>
          <w:sz w:val="28"/>
          <w:szCs w:val="28"/>
        </w:rPr>
        <w:t>)</w:t>
      </w:r>
      <w:r>
        <w:rPr>
          <w:rFonts w:asciiTheme="majorBidi" w:hAnsiTheme="majorBidi" w:cstheme="majorBidi"/>
          <w:color w:val="000000"/>
          <w:sz w:val="28"/>
          <w:szCs w:val="28"/>
        </w:rPr>
        <w:t xml:space="preserve">. </w:t>
      </w:r>
      <w:r w:rsidRPr="00BD2DAA">
        <w:rPr>
          <w:rFonts w:asciiTheme="majorBidi" w:hAnsiTheme="majorBidi" w:cstheme="majorBidi"/>
          <w:color w:val="000000"/>
          <w:sz w:val="28"/>
          <w:szCs w:val="28"/>
        </w:rPr>
        <w:t>Several are commercially available,</w:t>
      </w:r>
      <w:r>
        <w:rPr>
          <w:rFonts w:asciiTheme="majorBidi" w:hAnsiTheme="majorBidi" w:cstheme="majorBidi"/>
          <w:color w:val="000000"/>
          <w:sz w:val="28"/>
          <w:szCs w:val="28"/>
        </w:rPr>
        <w:t xml:space="preserve"> but none has been adopted into </w:t>
      </w:r>
      <w:r w:rsidRPr="00BD2DAA">
        <w:rPr>
          <w:rFonts w:asciiTheme="majorBidi" w:hAnsiTheme="majorBidi" w:cstheme="majorBidi"/>
          <w:color w:val="000000"/>
          <w:sz w:val="28"/>
          <w:szCs w:val="28"/>
        </w:rPr>
        <w:t>routine standard of care, owing to poor se</w:t>
      </w:r>
      <w:r>
        <w:rPr>
          <w:rFonts w:asciiTheme="majorBidi" w:hAnsiTheme="majorBidi" w:cstheme="majorBidi"/>
          <w:color w:val="000000"/>
          <w:sz w:val="28"/>
          <w:szCs w:val="28"/>
        </w:rPr>
        <w:t xml:space="preserve">nsitivity and/or expense. These </w:t>
      </w:r>
      <w:r w:rsidRPr="00BD2DAA">
        <w:rPr>
          <w:rFonts w:asciiTheme="majorBidi" w:hAnsiTheme="majorBidi" w:cstheme="majorBidi"/>
          <w:color w:val="000000"/>
          <w:sz w:val="28"/>
          <w:szCs w:val="28"/>
        </w:rPr>
        <w:t>markers may serve as an adjunctive diagn</w:t>
      </w:r>
      <w:r>
        <w:rPr>
          <w:rFonts w:asciiTheme="majorBidi" w:hAnsiTheme="majorBidi" w:cstheme="majorBidi"/>
          <w:color w:val="000000"/>
          <w:sz w:val="28"/>
          <w:szCs w:val="28"/>
        </w:rPr>
        <w:t xml:space="preserve">ostic test in cases where urine </w:t>
      </w:r>
      <w:r w:rsidRPr="00BD2DAA">
        <w:rPr>
          <w:rFonts w:asciiTheme="majorBidi" w:hAnsiTheme="majorBidi" w:cstheme="majorBidi"/>
          <w:color w:val="000000"/>
          <w:sz w:val="28"/>
          <w:szCs w:val="28"/>
        </w:rPr>
        <w:t xml:space="preserve">cytology is equivocal </w:t>
      </w:r>
      <w:r w:rsidRPr="00BD2DAA">
        <w:rPr>
          <w:rFonts w:asciiTheme="majorBidi" w:hAnsiTheme="majorBidi" w:cstheme="majorBidi"/>
          <w:b/>
          <w:bCs/>
          <w:i/>
          <w:iCs/>
          <w:color w:val="000000"/>
          <w:sz w:val="28"/>
          <w:szCs w:val="28"/>
        </w:rPr>
        <w:t>(Cheung et al., 2013)</w:t>
      </w:r>
      <w:r w:rsidRPr="00BD2DAA">
        <w:rPr>
          <w:rFonts w:asciiTheme="majorBidi" w:hAnsiTheme="majorBidi" w:cstheme="majorBidi"/>
          <w:color w:val="000000"/>
          <w:sz w:val="28"/>
          <w:szCs w:val="28"/>
        </w:rPr>
        <w:t>.</w:t>
      </w:r>
    </w:p>
    <w:p w14:paraId="6B19BA67" w14:textId="77777777" w:rsidR="00C03CB5" w:rsidRPr="001E2E25" w:rsidRDefault="00C03CB5" w:rsidP="00FE4325">
      <w:pPr>
        <w:pStyle w:val="ListParagraph"/>
        <w:numPr>
          <w:ilvl w:val="0"/>
          <w:numId w:val="5"/>
        </w:numPr>
        <w:tabs>
          <w:tab w:val="left" w:pos="360"/>
        </w:tabs>
        <w:spacing w:before="120" w:after="120"/>
        <w:rPr>
          <w:rFonts w:asciiTheme="majorBidi" w:hAnsiTheme="majorBidi" w:cstheme="majorBidi"/>
          <w:color w:val="000000"/>
          <w:sz w:val="28"/>
          <w:szCs w:val="28"/>
        </w:rPr>
      </w:pPr>
      <w:r w:rsidRPr="001E2E25">
        <w:rPr>
          <w:rFonts w:asciiTheme="majorBidi" w:hAnsiTheme="majorBidi" w:cstheme="majorBidi"/>
          <w:b/>
          <w:bCs/>
          <w:color w:val="000000"/>
          <w:sz w:val="28"/>
          <w:szCs w:val="28"/>
        </w:rPr>
        <w:lastRenderedPageBreak/>
        <w:t xml:space="preserve">Fluorescence in situ </w:t>
      </w:r>
      <w:proofErr w:type="gramStart"/>
      <w:r w:rsidRPr="001E2E25">
        <w:rPr>
          <w:rFonts w:asciiTheme="majorBidi" w:hAnsiTheme="majorBidi" w:cstheme="majorBidi"/>
          <w:b/>
          <w:bCs/>
          <w:color w:val="000000"/>
          <w:sz w:val="28"/>
          <w:szCs w:val="28"/>
        </w:rPr>
        <w:t>hybridization(</w:t>
      </w:r>
      <w:proofErr w:type="gramEnd"/>
      <w:r w:rsidRPr="001E2E25">
        <w:rPr>
          <w:rFonts w:asciiTheme="majorBidi" w:hAnsiTheme="majorBidi" w:cstheme="majorBidi"/>
          <w:b/>
          <w:bCs/>
          <w:color w:val="000000"/>
          <w:sz w:val="28"/>
          <w:szCs w:val="28"/>
        </w:rPr>
        <w:t>FISH):</w:t>
      </w:r>
    </w:p>
    <w:p w14:paraId="5510E4B2" w14:textId="77777777" w:rsidR="00C03CB5" w:rsidRPr="00BD2DAA" w:rsidRDefault="00C03CB5" w:rsidP="00C03CB5">
      <w:pPr>
        <w:spacing w:before="120" w:after="120"/>
        <w:rPr>
          <w:rFonts w:asciiTheme="majorBidi" w:hAnsiTheme="majorBidi" w:cstheme="majorBidi"/>
          <w:color w:val="000000"/>
          <w:sz w:val="28"/>
          <w:szCs w:val="28"/>
        </w:rPr>
      </w:pPr>
      <w:r w:rsidRPr="00BD2DAA">
        <w:rPr>
          <w:rFonts w:asciiTheme="majorBidi" w:hAnsiTheme="majorBidi" w:cstheme="majorBidi"/>
          <w:color w:val="000000"/>
          <w:sz w:val="28"/>
          <w:szCs w:val="28"/>
        </w:rPr>
        <w:t>FISH can be used to detect urinary cells that have chromosomal</w:t>
      </w:r>
      <w:r w:rsidRPr="00BD2DAA">
        <w:rPr>
          <w:rFonts w:asciiTheme="majorBidi" w:hAnsiTheme="majorBidi" w:cstheme="majorBidi"/>
          <w:color w:val="000000"/>
          <w:sz w:val="28"/>
          <w:szCs w:val="28"/>
        </w:rPr>
        <w:br/>
        <w:t>abnormalities consistent with a diagnosis of bladder cancer. For example,</w:t>
      </w:r>
      <w:r w:rsidRPr="00BD2DAA">
        <w:rPr>
          <w:rFonts w:asciiTheme="majorBidi" w:hAnsiTheme="majorBidi" w:cstheme="majorBidi"/>
          <w:color w:val="000000"/>
          <w:sz w:val="28"/>
          <w:szCs w:val="28"/>
        </w:rPr>
        <w:br/>
        <w:t>The UroVysion Bladder Cancer Kit (UroVysion Kit) uses fluorescently</w:t>
      </w:r>
      <w:r w:rsidRPr="00BD2DAA">
        <w:rPr>
          <w:rFonts w:asciiTheme="majorBidi" w:hAnsiTheme="majorBidi" w:cstheme="majorBidi"/>
          <w:color w:val="000000"/>
          <w:sz w:val="28"/>
          <w:szCs w:val="28"/>
        </w:rPr>
        <w:br/>
        <w:t>labeled DNA probes to detect aneuploidy in chromosomes 3, 7, and 17</w:t>
      </w:r>
      <w:r w:rsidRPr="00BD2DAA">
        <w:rPr>
          <w:rFonts w:asciiTheme="majorBidi" w:hAnsiTheme="majorBidi" w:cstheme="majorBidi"/>
          <w:color w:val="000000"/>
          <w:sz w:val="28"/>
          <w:szCs w:val="28"/>
        </w:rPr>
        <w:br/>
        <w:t xml:space="preserve">and loss of the 9 p21 locus of the P16 tumor suppressor gene </w:t>
      </w:r>
      <w:r w:rsidRPr="00BD2DAA">
        <w:rPr>
          <w:rFonts w:asciiTheme="majorBidi" w:hAnsiTheme="majorBidi" w:cstheme="majorBidi"/>
          <w:b/>
          <w:bCs/>
          <w:i/>
          <w:iCs/>
          <w:color w:val="000000"/>
          <w:sz w:val="28"/>
          <w:szCs w:val="28"/>
        </w:rPr>
        <w:t>(Cheung et</w:t>
      </w:r>
      <w:r w:rsidRPr="00BD2DAA">
        <w:rPr>
          <w:rFonts w:asciiTheme="majorBidi" w:hAnsiTheme="majorBidi" w:cstheme="majorBidi"/>
          <w:color w:val="000000"/>
          <w:sz w:val="28"/>
          <w:szCs w:val="28"/>
        </w:rPr>
        <w:br/>
      </w:r>
      <w:r w:rsidRPr="00BD2DAA">
        <w:rPr>
          <w:rFonts w:asciiTheme="majorBidi" w:hAnsiTheme="majorBidi" w:cstheme="majorBidi"/>
          <w:b/>
          <w:bCs/>
          <w:i/>
          <w:iCs/>
          <w:color w:val="000000"/>
          <w:sz w:val="28"/>
          <w:szCs w:val="28"/>
        </w:rPr>
        <w:t>al., 2013)</w:t>
      </w:r>
      <w:r w:rsidRPr="00BD2DAA">
        <w:rPr>
          <w:rFonts w:asciiTheme="majorBidi" w:hAnsiTheme="majorBidi" w:cstheme="majorBidi"/>
          <w:color w:val="000000"/>
          <w:sz w:val="28"/>
          <w:szCs w:val="28"/>
        </w:rPr>
        <w:t>.</w:t>
      </w:r>
    </w:p>
    <w:p w14:paraId="0422746F" w14:textId="77777777" w:rsidR="00C03CB5" w:rsidRPr="00FE4325" w:rsidRDefault="00C03CB5" w:rsidP="00FE4325">
      <w:pPr>
        <w:pStyle w:val="ListParagraph"/>
        <w:numPr>
          <w:ilvl w:val="0"/>
          <w:numId w:val="5"/>
        </w:numPr>
        <w:tabs>
          <w:tab w:val="left" w:pos="270"/>
        </w:tabs>
        <w:spacing w:after="120"/>
        <w:rPr>
          <w:rFonts w:asciiTheme="majorBidi" w:hAnsiTheme="majorBidi" w:cstheme="majorBidi"/>
          <w:color w:val="000000"/>
          <w:sz w:val="28"/>
          <w:szCs w:val="28"/>
        </w:rPr>
      </w:pPr>
      <w:r w:rsidRPr="00FE4325">
        <w:rPr>
          <w:rFonts w:asciiTheme="majorBidi" w:hAnsiTheme="majorBidi" w:cstheme="majorBidi"/>
          <w:b/>
          <w:bCs/>
          <w:color w:val="000000"/>
          <w:sz w:val="28"/>
          <w:szCs w:val="28"/>
        </w:rPr>
        <w:t>Microsatellite analysis (MSA)</w:t>
      </w:r>
    </w:p>
    <w:p w14:paraId="38D96BCA" w14:textId="77777777" w:rsidR="00C03CB5" w:rsidRDefault="00C03CB5" w:rsidP="00C03CB5">
      <w:pPr>
        <w:spacing w:after="120"/>
        <w:rPr>
          <w:rFonts w:asciiTheme="majorBidi" w:hAnsiTheme="majorBidi" w:cstheme="majorBidi"/>
          <w:color w:val="000000"/>
          <w:sz w:val="28"/>
          <w:szCs w:val="28"/>
        </w:rPr>
      </w:pPr>
      <w:r w:rsidRPr="00BD2DAA">
        <w:rPr>
          <w:rFonts w:asciiTheme="majorBidi" w:hAnsiTheme="majorBidi" w:cstheme="majorBidi"/>
          <w:color w:val="000000"/>
          <w:sz w:val="28"/>
          <w:szCs w:val="28"/>
        </w:rPr>
        <w:t xml:space="preserve">Microsatellites are highly polymorphic, short, tandem </w:t>
      </w:r>
      <w:bookmarkStart w:id="26" w:name="_Hlk71753100"/>
      <w:r w:rsidRPr="00BD2DAA">
        <w:rPr>
          <w:rFonts w:asciiTheme="majorBidi" w:hAnsiTheme="majorBidi" w:cstheme="majorBidi"/>
          <w:color w:val="000000"/>
          <w:sz w:val="28"/>
          <w:szCs w:val="28"/>
        </w:rPr>
        <w:t>DNA</w:t>
      </w:r>
      <w:bookmarkEnd w:id="26"/>
      <w:r w:rsidRPr="00BD2DAA">
        <w:rPr>
          <w:rFonts w:asciiTheme="majorBidi" w:hAnsiTheme="majorBidi" w:cstheme="majorBidi"/>
          <w:color w:val="000000"/>
          <w:sz w:val="28"/>
          <w:szCs w:val="28"/>
        </w:rPr>
        <w:t xml:space="preserve"> repeats</w:t>
      </w:r>
      <w:r w:rsidRPr="00BD2DAA">
        <w:rPr>
          <w:rFonts w:asciiTheme="majorBidi" w:hAnsiTheme="majorBidi" w:cstheme="majorBidi"/>
          <w:color w:val="000000"/>
          <w:sz w:val="28"/>
          <w:szCs w:val="28"/>
        </w:rPr>
        <w:br/>
        <w:t>found in the human genome. Two types of microsatellite alterations can</w:t>
      </w:r>
      <w:r w:rsidRPr="00BD2DAA">
        <w:rPr>
          <w:rFonts w:asciiTheme="majorBidi" w:hAnsiTheme="majorBidi" w:cstheme="majorBidi"/>
          <w:color w:val="000000"/>
          <w:sz w:val="28"/>
          <w:szCs w:val="28"/>
        </w:rPr>
        <w:br/>
        <w:t xml:space="preserve">be found in many cancers: </w:t>
      </w:r>
      <w:bookmarkStart w:id="27" w:name="_Hlk71753054"/>
      <w:r w:rsidRPr="00BD2DAA">
        <w:rPr>
          <w:rFonts w:asciiTheme="majorBidi" w:hAnsiTheme="majorBidi" w:cstheme="majorBidi"/>
          <w:color w:val="000000"/>
          <w:sz w:val="28"/>
          <w:szCs w:val="28"/>
        </w:rPr>
        <w:t>loss of heterozygosity (LOH</w:t>
      </w:r>
      <w:bookmarkEnd w:id="27"/>
      <w:r w:rsidRPr="00BD2DAA">
        <w:rPr>
          <w:rFonts w:asciiTheme="majorBidi" w:hAnsiTheme="majorBidi" w:cstheme="majorBidi"/>
          <w:color w:val="000000"/>
          <w:sz w:val="28"/>
          <w:szCs w:val="28"/>
        </w:rPr>
        <w:t>), an allelelic</w:t>
      </w:r>
      <w:r w:rsidRPr="00BD2DAA">
        <w:rPr>
          <w:rFonts w:asciiTheme="majorBidi" w:hAnsiTheme="majorBidi" w:cstheme="majorBidi"/>
          <w:color w:val="000000"/>
          <w:sz w:val="28"/>
          <w:szCs w:val="28"/>
        </w:rPr>
        <w:br/>
        <w:t xml:space="preserve">deletion, and somatic alteration of microsatellite repeat length </w:t>
      </w:r>
      <w:r w:rsidRPr="00BD2DAA">
        <w:rPr>
          <w:rFonts w:asciiTheme="majorBidi" w:hAnsiTheme="majorBidi" w:cstheme="majorBidi"/>
          <w:b/>
          <w:bCs/>
          <w:i/>
          <w:iCs/>
          <w:color w:val="000000"/>
          <w:sz w:val="28"/>
          <w:szCs w:val="28"/>
        </w:rPr>
        <w:t>(Vrooman</w:t>
      </w:r>
      <w:r w:rsidRPr="00BD2DAA">
        <w:rPr>
          <w:rFonts w:asciiTheme="majorBidi" w:hAnsiTheme="majorBidi" w:cstheme="majorBidi"/>
          <w:color w:val="000000"/>
          <w:sz w:val="28"/>
          <w:szCs w:val="28"/>
        </w:rPr>
        <w:br/>
      </w:r>
      <w:r w:rsidRPr="00BD2DAA">
        <w:rPr>
          <w:rFonts w:asciiTheme="majorBidi" w:hAnsiTheme="majorBidi" w:cstheme="majorBidi"/>
          <w:b/>
          <w:bCs/>
          <w:i/>
          <w:iCs/>
          <w:color w:val="000000"/>
          <w:sz w:val="28"/>
          <w:szCs w:val="28"/>
        </w:rPr>
        <w:t>and Witjes, 2008)</w:t>
      </w:r>
      <w:r w:rsidRPr="00BD2DAA">
        <w:rPr>
          <w:rFonts w:asciiTheme="majorBidi" w:hAnsiTheme="majorBidi" w:cstheme="majorBidi"/>
          <w:color w:val="000000"/>
          <w:sz w:val="28"/>
          <w:szCs w:val="28"/>
        </w:rPr>
        <w:t>. In bladder cancer, most mutations are in the form of</w:t>
      </w:r>
      <w:r w:rsidRPr="00BD2DAA">
        <w:rPr>
          <w:rFonts w:asciiTheme="majorBidi" w:hAnsiTheme="majorBidi" w:cstheme="majorBidi"/>
          <w:color w:val="000000"/>
          <w:sz w:val="28"/>
          <w:szCs w:val="28"/>
        </w:rPr>
        <w:br/>
        <w:t xml:space="preserve">LOH </w:t>
      </w:r>
      <w:r w:rsidRPr="00BD2DAA">
        <w:rPr>
          <w:rFonts w:asciiTheme="majorBidi" w:hAnsiTheme="majorBidi" w:cstheme="majorBidi"/>
          <w:b/>
          <w:bCs/>
          <w:i/>
          <w:iCs/>
          <w:color w:val="000000"/>
          <w:sz w:val="28"/>
          <w:szCs w:val="28"/>
        </w:rPr>
        <w:t>(Turyn et al., 2006)</w:t>
      </w:r>
      <w:r w:rsidRPr="00BD2DAA">
        <w:rPr>
          <w:rFonts w:asciiTheme="majorBidi" w:hAnsiTheme="majorBidi" w:cstheme="majorBidi"/>
          <w:color w:val="000000"/>
          <w:sz w:val="28"/>
          <w:szCs w:val="28"/>
        </w:rPr>
        <w:t>. Microsatellite alterations in exfoliated urine</w:t>
      </w:r>
      <w:r w:rsidRPr="00BD2DAA">
        <w:rPr>
          <w:rFonts w:asciiTheme="majorBidi" w:hAnsiTheme="majorBidi" w:cstheme="majorBidi"/>
          <w:color w:val="000000"/>
          <w:sz w:val="28"/>
          <w:szCs w:val="28"/>
        </w:rPr>
        <w:br/>
        <w:t xml:space="preserve">are detected by a </w:t>
      </w:r>
      <w:bookmarkStart w:id="28" w:name="_Hlk71753080"/>
      <w:r w:rsidRPr="00BD2DAA">
        <w:rPr>
          <w:rFonts w:asciiTheme="majorBidi" w:hAnsiTheme="majorBidi" w:cstheme="majorBidi"/>
          <w:color w:val="000000"/>
          <w:sz w:val="28"/>
          <w:szCs w:val="28"/>
        </w:rPr>
        <w:t>polymerase chain reaction (PCR</w:t>
      </w:r>
      <w:bookmarkEnd w:id="28"/>
      <w:r w:rsidRPr="00BD2DAA">
        <w:rPr>
          <w:rFonts w:asciiTheme="majorBidi" w:hAnsiTheme="majorBidi" w:cstheme="majorBidi"/>
          <w:color w:val="000000"/>
          <w:sz w:val="28"/>
          <w:szCs w:val="28"/>
        </w:rPr>
        <w:t>) using DNA primers</w:t>
      </w:r>
      <w:r w:rsidRPr="00BD2DAA">
        <w:rPr>
          <w:rFonts w:asciiTheme="majorBidi" w:hAnsiTheme="majorBidi" w:cstheme="majorBidi"/>
          <w:color w:val="000000"/>
          <w:sz w:val="28"/>
          <w:szCs w:val="28"/>
        </w:rPr>
        <w:br/>
        <w:t xml:space="preserve">for a panel of known microsatellite markers </w:t>
      </w:r>
      <w:r w:rsidRPr="00BD2DAA">
        <w:rPr>
          <w:rFonts w:asciiTheme="majorBidi" w:hAnsiTheme="majorBidi" w:cstheme="majorBidi"/>
          <w:b/>
          <w:bCs/>
          <w:i/>
          <w:iCs/>
          <w:color w:val="000000"/>
          <w:sz w:val="28"/>
          <w:szCs w:val="28"/>
        </w:rPr>
        <w:t>(Vrooman and Witjes, 2008)</w:t>
      </w:r>
      <w:r>
        <w:rPr>
          <w:rFonts w:asciiTheme="majorBidi" w:hAnsiTheme="majorBidi" w:cstheme="majorBidi"/>
          <w:color w:val="000000"/>
          <w:sz w:val="28"/>
          <w:szCs w:val="28"/>
        </w:rPr>
        <w:t>.</w:t>
      </w:r>
    </w:p>
    <w:p w14:paraId="0808F755" w14:textId="10C10F71" w:rsidR="00C03CB5" w:rsidRPr="00FA503B" w:rsidRDefault="00C03CB5" w:rsidP="00FA503B">
      <w:pPr>
        <w:pStyle w:val="ListParagraph"/>
        <w:numPr>
          <w:ilvl w:val="0"/>
          <w:numId w:val="5"/>
        </w:numPr>
        <w:spacing w:before="120"/>
        <w:rPr>
          <w:rFonts w:asciiTheme="majorBidi" w:hAnsiTheme="majorBidi" w:cstheme="majorBidi"/>
          <w:color w:val="000000"/>
          <w:sz w:val="28"/>
          <w:szCs w:val="28"/>
        </w:rPr>
      </w:pPr>
      <w:r w:rsidRPr="00FA503B">
        <w:rPr>
          <w:rFonts w:asciiTheme="majorBidi" w:hAnsiTheme="majorBidi" w:cstheme="majorBidi"/>
          <w:b/>
          <w:bCs/>
          <w:color w:val="000000"/>
          <w:sz w:val="28"/>
          <w:szCs w:val="28"/>
        </w:rPr>
        <w:t>ImmunoCytTM</w:t>
      </w:r>
    </w:p>
    <w:p w14:paraId="5B052E47" w14:textId="77777777" w:rsidR="00C03CB5" w:rsidRDefault="00C03CB5" w:rsidP="00C03CB5">
      <w:pPr>
        <w:spacing w:before="120"/>
        <w:contextualSpacing/>
        <w:rPr>
          <w:rFonts w:asciiTheme="majorBidi" w:hAnsiTheme="majorBidi" w:cstheme="majorBidi"/>
          <w:color w:val="000000"/>
          <w:sz w:val="28"/>
          <w:szCs w:val="28"/>
        </w:rPr>
      </w:pPr>
      <w:r w:rsidRPr="00BD2DAA">
        <w:rPr>
          <w:rFonts w:asciiTheme="majorBidi" w:hAnsiTheme="majorBidi" w:cstheme="majorBidi"/>
          <w:color w:val="000000"/>
          <w:sz w:val="28"/>
          <w:szCs w:val="28"/>
        </w:rPr>
        <w:t>Immunocytology is based on the visualisation of tumour associated</w:t>
      </w:r>
      <w:r w:rsidRPr="00BD2DAA">
        <w:rPr>
          <w:rFonts w:asciiTheme="majorBidi" w:hAnsiTheme="majorBidi" w:cstheme="majorBidi"/>
          <w:color w:val="000000"/>
          <w:sz w:val="28"/>
          <w:szCs w:val="28"/>
        </w:rPr>
        <w:br/>
        <w:t>antigens in urothelial carcinoma cells using monoclonal antibodies. Three</w:t>
      </w:r>
      <w:r w:rsidRPr="00BD2DAA">
        <w:rPr>
          <w:rFonts w:asciiTheme="majorBidi" w:hAnsiTheme="majorBidi" w:cstheme="majorBidi"/>
          <w:color w:val="000000"/>
          <w:sz w:val="28"/>
          <w:szCs w:val="28"/>
        </w:rPr>
        <w:br/>
        <w:t>fluorescently marked antibodies label two mucin like proteins and a high molecular weight form of carcinoembryonic antigen. After this process</w:t>
      </w:r>
      <w:r w:rsidRPr="00BD2DAA">
        <w:rPr>
          <w:rFonts w:asciiTheme="majorBidi" w:hAnsiTheme="majorBidi" w:cstheme="majorBidi"/>
          <w:color w:val="000000"/>
          <w:sz w:val="28"/>
          <w:szCs w:val="28"/>
        </w:rPr>
        <w:br/>
        <w:t xml:space="preserve">the cells are examined under a fluorescent microscope </w:t>
      </w:r>
      <w:r w:rsidRPr="00BD2DAA">
        <w:rPr>
          <w:rFonts w:asciiTheme="majorBidi" w:hAnsiTheme="majorBidi" w:cstheme="majorBidi"/>
          <w:b/>
          <w:bCs/>
          <w:i/>
          <w:iCs/>
          <w:color w:val="000000"/>
          <w:sz w:val="28"/>
          <w:szCs w:val="28"/>
        </w:rPr>
        <w:t>(Vrooman and</w:t>
      </w:r>
      <w:r w:rsidRPr="00BD2DAA">
        <w:rPr>
          <w:rFonts w:asciiTheme="majorBidi" w:hAnsiTheme="majorBidi" w:cstheme="majorBidi"/>
          <w:color w:val="000000"/>
          <w:sz w:val="28"/>
          <w:szCs w:val="28"/>
        </w:rPr>
        <w:br/>
      </w:r>
      <w:r w:rsidRPr="00BD2DAA">
        <w:rPr>
          <w:rFonts w:asciiTheme="majorBidi" w:hAnsiTheme="majorBidi" w:cstheme="majorBidi"/>
          <w:b/>
          <w:bCs/>
          <w:i/>
          <w:iCs/>
          <w:color w:val="000000"/>
          <w:sz w:val="28"/>
          <w:szCs w:val="28"/>
        </w:rPr>
        <w:t>Witjes, 2008)</w:t>
      </w:r>
      <w:r w:rsidRPr="00BD2DAA">
        <w:rPr>
          <w:rFonts w:asciiTheme="majorBidi" w:hAnsiTheme="majorBidi" w:cstheme="majorBidi"/>
          <w:color w:val="000000"/>
          <w:sz w:val="28"/>
          <w:szCs w:val="28"/>
        </w:rPr>
        <w:t xml:space="preserve"> </w:t>
      </w:r>
    </w:p>
    <w:p w14:paraId="70CD2EAF" w14:textId="77777777" w:rsidR="00C03CB5" w:rsidRPr="001E2E25" w:rsidRDefault="00C03CB5" w:rsidP="00FA503B">
      <w:pPr>
        <w:pStyle w:val="ListParagraph"/>
        <w:numPr>
          <w:ilvl w:val="0"/>
          <w:numId w:val="5"/>
        </w:numPr>
        <w:spacing w:before="120"/>
        <w:rPr>
          <w:rFonts w:asciiTheme="majorBidi" w:hAnsiTheme="majorBidi" w:cstheme="majorBidi"/>
          <w:color w:val="000000"/>
          <w:sz w:val="28"/>
          <w:szCs w:val="28"/>
        </w:rPr>
      </w:pPr>
      <w:r w:rsidRPr="001E2E25">
        <w:rPr>
          <w:rFonts w:asciiTheme="majorBidi" w:hAnsiTheme="majorBidi" w:cstheme="majorBidi"/>
          <w:b/>
          <w:bCs/>
          <w:color w:val="000000"/>
          <w:sz w:val="28"/>
          <w:szCs w:val="28"/>
        </w:rPr>
        <w:t>Telomerase:</w:t>
      </w:r>
    </w:p>
    <w:p w14:paraId="0A84E810" w14:textId="77777777" w:rsidR="00C03CB5" w:rsidRPr="00BD2DAA" w:rsidRDefault="00C03CB5" w:rsidP="00C03CB5">
      <w:pPr>
        <w:spacing w:before="120"/>
        <w:rPr>
          <w:rFonts w:asciiTheme="majorBidi" w:hAnsiTheme="majorBidi" w:cstheme="majorBidi"/>
          <w:color w:val="000000"/>
          <w:sz w:val="28"/>
          <w:szCs w:val="28"/>
        </w:rPr>
      </w:pPr>
      <w:r w:rsidRPr="00BD2DAA">
        <w:rPr>
          <w:rFonts w:asciiTheme="majorBidi" w:hAnsiTheme="majorBidi" w:cstheme="majorBidi"/>
          <w:color w:val="000000"/>
          <w:sz w:val="28"/>
          <w:szCs w:val="28"/>
        </w:rPr>
        <w:t>Telomeres are repetitious sequences at the end of chromosomes</w:t>
      </w:r>
      <w:r w:rsidRPr="00BD2DAA">
        <w:rPr>
          <w:rFonts w:asciiTheme="majorBidi" w:hAnsiTheme="majorBidi" w:cstheme="majorBidi"/>
          <w:color w:val="000000"/>
          <w:sz w:val="28"/>
          <w:szCs w:val="28"/>
        </w:rPr>
        <w:br/>
        <w:t>that protect genetic stability during DNA replication. There is loss of</w:t>
      </w:r>
      <w:r w:rsidRPr="00BD2DAA">
        <w:rPr>
          <w:rFonts w:asciiTheme="majorBidi" w:hAnsiTheme="majorBidi" w:cstheme="majorBidi"/>
          <w:color w:val="000000"/>
          <w:sz w:val="28"/>
          <w:szCs w:val="28"/>
        </w:rPr>
        <w:br/>
        <w:t>telomeres during each cell division, which causes chromosomal</w:t>
      </w:r>
      <w:r w:rsidRPr="00BD2DAA">
        <w:rPr>
          <w:rFonts w:asciiTheme="majorBidi" w:hAnsiTheme="majorBidi" w:cstheme="majorBidi"/>
          <w:color w:val="000000"/>
          <w:sz w:val="28"/>
          <w:szCs w:val="28"/>
        </w:rPr>
        <w:br/>
        <w:t>instability and cellular senescence. Bladder cancer cells express</w:t>
      </w:r>
      <w:r w:rsidRPr="00BD2DAA">
        <w:rPr>
          <w:rFonts w:asciiTheme="majorBidi" w:hAnsiTheme="majorBidi" w:cstheme="majorBidi"/>
          <w:color w:val="000000"/>
          <w:sz w:val="28"/>
          <w:szCs w:val="28"/>
        </w:rPr>
        <w:br/>
      </w:r>
      <w:r w:rsidRPr="00BD2DAA">
        <w:rPr>
          <w:rFonts w:asciiTheme="majorBidi" w:hAnsiTheme="majorBidi" w:cstheme="majorBidi"/>
          <w:color w:val="000000"/>
          <w:sz w:val="28"/>
          <w:szCs w:val="28"/>
        </w:rPr>
        <w:lastRenderedPageBreak/>
        <w:t>telomerase, an enzyme that regenerates telomeres at the end of each DNA</w:t>
      </w:r>
      <w:r w:rsidRPr="00BD2DAA">
        <w:rPr>
          <w:rFonts w:asciiTheme="majorBidi" w:hAnsiTheme="majorBidi" w:cstheme="majorBidi"/>
          <w:color w:val="000000"/>
          <w:sz w:val="28"/>
          <w:szCs w:val="28"/>
        </w:rPr>
        <w:br/>
        <w:t>replication and therefore sets the cellular clock to immortality.</w:t>
      </w:r>
      <w:r w:rsidRPr="00BD2DAA">
        <w:rPr>
          <w:rFonts w:asciiTheme="majorBidi" w:hAnsiTheme="majorBidi" w:cstheme="majorBidi"/>
          <w:color w:val="000000"/>
          <w:sz w:val="28"/>
          <w:szCs w:val="28"/>
        </w:rPr>
        <w:br/>
        <w:t>Determination of telomerase activity is a PCR-based technology and must</w:t>
      </w:r>
      <w:r w:rsidRPr="00BD2DAA">
        <w:rPr>
          <w:rFonts w:asciiTheme="majorBidi" w:hAnsiTheme="majorBidi" w:cstheme="majorBidi"/>
          <w:color w:val="000000"/>
          <w:sz w:val="28"/>
          <w:szCs w:val="28"/>
        </w:rPr>
        <w:br/>
        <w:t xml:space="preserve">be performed in specialized laboratories </w:t>
      </w:r>
      <w:r w:rsidRPr="00BD2DAA">
        <w:rPr>
          <w:rFonts w:asciiTheme="majorBidi" w:hAnsiTheme="majorBidi" w:cstheme="majorBidi"/>
          <w:b/>
          <w:bCs/>
          <w:i/>
          <w:iCs/>
          <w:color w:val="000000"/>
          <w:sz w:val="28"/>
          <w:szCs w:val="28"/>
        </w:rPr>
        <w:t>(Vrooman and Witjes, 2008)</w:t>
      </w:r>
      <w:r w:rsidRPr="00BD2DAA">
        <w:rPr>
          <w:rFonts w:asciiTheme="majorBidi" w:hAnsiTheme="majorBidi" w:cstheme="majorBidi"/>
          <w:color w:val="000000"/>
          <w:sz w:val="28"/>
          <w:szCs w:val="28"/>
        </w:rPr>
        <w:t>.</w:t>
      </w:r>
    </w:p>
    <w:p w14:paraId="27C7644A" w14:textId="77777777" w:rsidR="00C03CB5" w:rsidRPr="001E2E25" w:rsidRDefault="00C03CB5" w:rsidP="00FA503B">
      <w:pPr>
        <w:pStyle w:val="ListParagraph"/>
        <w:numPr>
          <w:ilvl w:val="0"/>
          <w:numId w:val="5"/>
        </w:numPr>
        <w:spacing w:before="120"/>
        <w:rPr>
          <w:rFonts w:asciiTheme="majorBidi" w:hAnsiTheme="majorBidi" w:cstheme="majorBidi"/>
          <w:color w:val="000000"/>
          <w:sz w:val="28"/>
          <w:szCs w:val="28"/>
        </w:rPr>
      </w:pPr>
      <w:r w:rsidRPr="001E2E25">
        <w:rPr>
          <w:rFonts w:asciiTheme="majorBidi" w:hAnsiTheme="majorBidi" w:cstheme="majorBidi"/>
          <w:b/>
          <w:bCs/>
          <w:color w:val="000000"/>
          <w:sz w:val="28"/>
          <w:szCs w:val="28"/>
        </w:rPr>
        <w:t>Bladder tumor antigen (BTA) BTA-TRAKTM and BTA-statTM:</w:t>
      </w:r>
      <w:r w:rsidRPr="001E2E25">
        <w:rPr>
          <w:rFonts w:asciiTheme="majorBidi" w:hAnsiTheme="majorBidi" w:cstheme="majorBidi"/>
          <w:color w:val="000000"/>
          <w:sz w:val="28"/>
          <w:szCs w:val="28"/>
        </w:rPr>
        <w:t xml:space="preserve"> </w:t>
      </w:r>
    </w:p>
    <w:p w14:paraId="275F2062" w14:textId="77777777" w:rsidR="00C03CB5" w:rsidRPr="00BD2DAA" w:rsidRDefault="00C03CB5" w:rsidP="00C03CB5">
      <w:pPr>
        <w:spacing w:before="120"/>
        <w:contextualSpacing/>
        <w:rPr>
          <w:rFonts w:asciiTheme="majorBidi" w:hAnsiTheme="majorBidi" w:cstheme="majorBidi"/>
          <w:color w:val="000000"/>
          <w:sz w:val="28"/>
          <w:szCs w:val="28"/>
        </w:rPr>
      </w:pPr>
      <w:r w:rsidRPr="00BD2DAA">
        <w:rPr>
          <w:rFonts w:asciiTheme="majorBidi" w:hAnsiTheme="majorBidi" w:cstheme="majorBidi"/>
          <w:color w:val="000000"/>
          <w:sz w:val="28"/>
          <w:szCs w:val="28"/>
        </w:rPr>
        <w:t>BTA-TRAK and BTA-stat (Alidex Inc, Redmond, WA, USA) are</w:t>
      </w:r>
      <w:r w:rsidRPr="00BD2DAA">
        <w:rPr>
          <w:rFonts w:asciiTheme="majorBidi" w:hAnsiTheme="majorBidi" w:cstheme="majorBidi"/>
          <w:color w:val="000000"/>
          <w:sz w:val="28"/>
          <w:szCs w:val="28"/>
        </w:rPr>
        <w:br/>
        <w:t>both versions of the bladder tumour antigen assay that measures</w:t>
      </w:r>
      <w:r w:rsidRPr="00BD2DAA">
        <w:rPr>
          <w:rFonts w:asciiTheme="majorBidi" w:hAnsiTheme="majorBidi" w:cstheme="majorBidi"/>
          <w:color w:val="000000"/>
          <w:sz w:val="28"/>
          <w:szCs w:val="28"/>
        </w:rPr>
        <w:br/>
        <w:t>complement factor H–related protein in urine. BTA-stat is an</w:t>
      </w:r>
      <w:r w:rsidRPr="00BD2DAA">
        <w:rPr>
          <w:rFonts w:asciiTheme="majorBidi" w:hAnsiTheme="majorBidi" w:cstheme="majorBidi"/>
          <w:color w:val="000000"/>
          <w:sz w:val="28"/>
          <w:szCs w:val="28"/>
        </w:rPr>
        <w:br/>
        <w:t>immunoassay that can be performed ‘‘on bench’’ within several minutes.</w:t>
      </w:r>
      <w:r w:rsidRPr="00BD2DAA">
        <w:rPr>
          <w:rFonts w:asciiTheme="majorBidi" w:hAnsiTheme="majorBidi" w:cstheme="majorBidi"/>
          <w:color w:val="000000"/>
          <w:sz w:val="28"/>
          <w:szCs w:val="28"/>
        </w:rPr>
        <w:br/>
        <w:t>BTA-TRAK is a quantitative test that is performed in a laboratory</w:t>
      </w:r>
      <w:r w:rsidRPr="00BD2DAA">
        <w:rPr>
          <w:rFonts w:asciiTheme="majorBidi" w:hAnsiTheme="majorBidi" w:cstheme="majorBidi"/>
          <w:color w:val="000000"/>
          <w:sz w:val="28"/>
          <w:szCs w:val="28"/>
        </w:rPr>
        <w:br/>
      </w:r>
      <w:r w:rsidRPr="00BD2DAA">
        <w:rPr>
          <w:rFonts w:asciiTheme="majorBidi" w:hAnsiTheme="majorBidi" w:cstheme="majorBidi"/>
          <w:b/>
          <w:bCs/>
          <w:i/>
          <w:iCs/>
          <w:color w:val="000000"/>
          <w:sz w:val="28"/>
          <w:szCs w:val="28"/>
        </w:rPr>
        <w:t>(Vrooman and Witjes, 2008)</w:t>
      </w:r>
      <w:r w:rsidRPr="00BD2DAA">
        <w:rPr>
          <w:rFonts w:asciiTheme="majorBidi" w:hAnsiTheme="majorBidi" w:cstheme="majorBidi"/>
          <w:color w:val="000000"/>
          <w:sz w:val="28"/>
          <w:szCs w:val="28"/>
        </w:rPr>
        <w:t>.</w:t>
      </w:r>
    </w:p>
    <w:p w14:paraId="076A1D9B" w14:textId="77777777" w:rsidR="00C03CB5" w:rsidRPr="001E2E25" w:rsidRDefault="00C03CB5" w:rsidP="00FA503B">
      <w:pPr>
        <w:pStyle w:val="ListParagraph"/>
        <w:numPr>
          <w:ilvl w:val="0"/>
          <w:numId w:val="5"/>
        </w:numPr>
        <w:spacing w:before="120"/>
        <w:rPr>
          <w:rFonts w:asciiTheme="majorBidi" w:hAnsiTheme="majorBidi" w:cstheme="majorBidi"/>
          <w:color w:val="000000"/>
          <w:sz w:val="28"/>
          <w:szCs w:val="28"/>
        </w:rPr>
      </w:pPr>
      <w:r w:rsidRPr="001E2E25">
        <w:rPr>
          <w:rFonts w:asciiTheme="majorBidi" w:hAnsiTheme="majorBidi" w:cstheme="majorBidi"/>
          <w:b/>
          <w:bCs/>
          <w:color w:val="000000"/>
          <w:sz w:val="28"/>
          <w:szCs w:val="28"/>
        </w:rPr>
        <w:t>Hyaluronic acid and hyaluronidase</w:t>
      </w:r>
    </w:p>
    <w:p w14:paraId="0CFE7A29" w14:textId="77777777" w:rsidR="00C03CB5" w:rsidRDefault="00C03CB5" w:rsidP="00C03CB5">
      <w:pPr>
        <w:spacing w:before="120"/>
        <w:contextualSpacing/>
        <w:rPr>
          <w:rFonts w:asciiTheme="majorBidi" w:hAnsiTheme="majorBidi" w:cstheme="majorBidi"/>
          <w:color w:val="000000"/>
          <w:sz w:val="28"/>
          <w:szCs w:val="28"/>
        </w:rPr>
      </w:pPr>
      <w:bookmarkStart w:id="29" w:name="_Hlk71753144"/>
      <w:r w:rsidRPr="00BD2DAA">
        <w:rPr>
          <w:rFonts w:asciiTheme="majorBidi" w:hAnsiTheme="majorBidi" w:cstheme="majorBidi"/>
          <w:color w:val="000000"/>
          <w:sz w:val="28"/>
          <w:szCs w:val="28"/>
        </w:rPr>
        <w:t>Hyaluronic acid (HA</w:t>
      </w:r>
      <w:bookmarkEnd w:id="29"/>
      <w:r w:rsidRPr="00BD2DAA">
        <w:rPr>
          <w:rFonts w:asciiTheme="majorBidi" w:hAnsiTheme="majorBidi" w:cstheme="majorBidi"/>
          <w:color w:val="000000"/>
          <w:sz w:val="28"/>
          <w:szCs w:val="28"/>
        </w:rPr>
        <w:t>) is a glycosaminoglycan and a normal</w:t>
      </w:r>
      <w:r w:rsidRPr="00BD2DAA">
        <w:rPr>
          <w:rFonts w:asciiTheme="majorBidi" w:hAnsiTheme="majorBidi" w:cstheme="majorBidi"/>
          <w:color w:val="000000"/>
          <w:sz w:val="28"/>
          <w:szCs w:val="28"/>
        </w:rPr>
        <w:br/>
        <w:t>component of tissue matrices and body fluids. In tumour tissues, elevated</w:t>
      </w:r>
      <w:r w:rsidRPr="00BD2DAA">
        <w:rPr>
          <w:rFonts w:asciiTheme="majorBidi" w:hAnsiTheme="majorBidi" w:cstheme="majorBidi"/>
          <w:color w:val="000000"/>
          <w:sz w:val="28"/>
          <w:szCs w:val="28"/>
        </w:rPr>
        <w:br/>
        <w:t>HA is mostly localised to tumour stroma. In bladder carcinoma HA is</w:t>
      </w:r>
      <w:r w:rsidRPr="00BD2DAA">
        <w:rPr>
          <w:rFonts w:asciiTheme="majorBidi" w:hAnsiTheme="majorBidi" w:cstheme="majorBidi"/>
          <w:color w:val="000000"/>
          <w:sz w:val="28"/>
          <w:szCs w:val="28"/>
        </w:rPr>
        <w:br/>
        <w:t>found in tumour cells, and elevated HA levels have been shown in</w:t>
      </w:r>
      <w:r w:rsidRPr="00BD2DAA">
        <w:rPr>
          <w:rFonts w:asciiTheme="majorBidi" w:hAnsiTheme="majorBidi" w:cstheme="majorBidi"/>
          <w:color w:val="000000"/>
          <w:sz w:val="28"/>
          <w:szCs w:val="28"/>
        </w:rPr>
        <w:br/>
        <w:t xml:space="preserve">urinary samples of bladder cancer patients </w:t>
      </w:r>
      <w:r w:rsidRPr="00BD2DAA">
        <w:rPr>
          <w:rFonts w:asciiTheme="majorBidi" w:hAnsiTheme="majorBidi" w:cstheme="majorBidi"/>
          <w:b/>
          <w:bCs/>
          <w:i/>
          <w:iCs/>
          <w:color w:val="000000"/>
          <w:sz w:val="28"/>
          <w:szCs w:val="28"/>
        </w:rPr>
        <w:t>(Lokeshwar et al., 2005)</w:t>
      </w:r>
      <w:r w:rsidRPr="00BD2DAA">
        <w:rPr>
          <w:rFonts w:asciiTheme="majorBidi" w:hAnsiTheme="majorBidi" w:cstheme="majorBidi"/>
          <w:color w:val="000000"/>
          <w:sz w:val="28"/>
          <w:szCs w:val="28"/>
        </w:rPr>
        <w:t>. The</w:t>
      </w:r>
      <w:r w:rsidRPr="00BD2DAA">
        <w:rPr>
          <w:rFonts w:asciiTheme="majorBidi" w:hAnsiTheme="majorBidi" w:cstheme="majorBidi"/>
          <w:color w:val="000000"/>
          <w:sz w:val="28"/>
          <w:szCs w:val="28"/>
        </w:rPr>
        <w:br/>
        <w:t>concentration of HA is also associated with tumour metastases</w:t>
      </w:r>
      <w:r w:rsidRPr="00BD2DAA">
        <w:rPr>
          <w:rFonts w:asciiTheme="majorBidi" w:hAnsiTheme="majorBidi" w:cstheme="majorBidi"/>
          <w:color w:val="000000"/>
          <w:sz w:val="28"/>
          <w:szCs w:val="28"/>
        </w:rPr>
        <w:br/>
      </w:r>
      <w:r w:rsidRPr="00BD2DAA">
        <w:rPr>
          <w:rFonts w:asciiTheme="majorBidi" w:hAnsiTheme="majorBidi" w:cstheme="majorBidi"/>
          <w:b/>
          <w:bCs/>
          <w:i/>
          <w:iCs/>
          <w:color w:val="000000"/>
          <w:sz w:val="28"/>
          <w:szCs w:val="28"/>
        </w:rPr>
        <w:t>(Lokeshwar et al., 2001)</w:t>
      </w:r>
      <w:r w:rsidRPr="00BD2DAA">
        <w:rPr>
          <w:rFonts w:asciiTheme="majorBidi" w:hAnsiTheme="majorBidi" w:cstheme="majorBidi"/>
          <w:i/>
          <w:iCs/>
          <w:color w:val="000000"/>
          <w:sz w:val="28"/>
          <w:szCs w:val="28"/>
        </w:rPr>
        <w:t xml:space="preserve">. </w:t>
      </w:r>
      <w:bookmarkStart w:id="30" w:name="_Hlk71753173"/>
      <w:r w:rsidRPr="00BD2DAA">
        <w:rPr>
          <w:rFonts w:asciiTheme="majorBidi" w:hAnsiTheme="majorBidi" w:cstheme="majorBidi"/>
          <w:color w:val="000000"/>
          <w:sz w:val="28"/>
          <w:szCs w:val="28"/>
        </w:rPr>
        <w:t xml:space="preserve">Hyaluronidase (HA-ase) </w:t>
      </w:r>
      <w:bookmarkEnd w:id="30"/>
      <w:r w:rsidRPr="00BD2DAA">
        <w:rPr>
          <w:rFonts w:asciiTheme="majorBidi" w:hAnsiTheme="majorBidi" w:cstheme="majorBidi"/>
          <w:color w:val="000000"/>
          <w:sz w:val="28"/>
          <w:szCs w:val="28"/>
        </w:rPr>
        <w:t>is an enzyme that cleaves HA into fragments. HA-ase levels are elevated in bladder tumour</w:t>
      </w:r>
      <w:r w:rsidRPr="00BD2DAA">
        <w:rPr>
          <w:rFonts w:asciiTheme="majorBidi" w:hAnsiTheme="majorBidi" w:cstheme="majorBidi"/>
          <w:color w:val="000000"/>
          <w:sz w:val="28"/>
          <w:szCs w:val="28"/>
        </w:rPr>
        <w:br/>
        <w:t xml:space="preserve">tissue, and an increase is correlated with tumour grade </w:t>
      </w:r>
      <w:r w:rsidRPr="00BD2DAA">
        <w:rPr>
          <w:rFonts w:asciiTheme="majorBidi" w:hAnsiTheme="majorBidi" w:cstheme="majorBidi"/>
          <w:b/>
          <w:bCs/>
          <w:i/>
          <w:iCs/>
          <w:color w:val="000000"/>
          <w:sz w:val="28"/>
          <w:szCs w:val="28"/>
        </w:rPr>
        <w:t>(Vrooman and</w:t>
      </w:r>
      <w:r w:rsidRPr="00BD2DAA">
        <w:rPr>
          <w:rFonts w:asciiTheme="majorBidi" w:hAnsiTheme="majorBidi" w:cstheme="majorBidi"/>
          <w:color w:val="000000"/>
          <w:sz w:val="28"/>
          <w:szCs w:val="28"/>
        </w:rPr>
        <w:br/>
      </w:r>
      <w:proofErr w:type="gramStart"/>
      <w:r w:rsidRPr="00BD2DAA">
        <w:rPr>
          <w:rFonts w:asciiTheme="majorBidi" w:hAnsiTheme="majorBidi" w:cstheme="majorBidi"/>
          <w:b/>
          <w:bCs/>
          <w:i/>
          <w:iCs/>
          <w:color w:val="000000"/>
          <w:sz w:val="28"/>
          <w:szCs w:val="28"/>
        </w:rPr>
        <w:t>Witjes ,</w:t>
      </w:r>
      <w:proofErr w:type="gramEnd"/>
      <w:r w:rsidRPr="00BD2DAA">
        <w:rPr>
          <w:rFonts w:asciiTheme="majorBidi" w:hAnsiTheme="majorBidi" w:cstheme="majorBidi"/>
          <w:b/>
          <w:bCs/>
          <w:i/>
          <w:iCs/>
          <w:color w:val="000000"/>
          <w:sz w:val="28"/>
          <w:szCs w:val="28"/>
        </w:rPr>
        <w:t xml:space="preserve"> 2008)</w:t>
      </w:r>
      <w:r>
        <w:rPr>
          <w:rFonts w:asciiTheme="majorBidi" w:hAnsiTheme="majorBidi" w:cstheme="majorBidi"/>
          <w:color w:val="000000"/>
          <w:sz w:val="28"/>
          <w:szCs w:val="28"/>
        </w:rPr>
        <w:t>.</w:t>
      </w:r>
    </w:p>
    <w:p w14:paraId="19A128E0" w14:textId="77777777" w:rsidR="00C03CB5" w:rsidRPr="001E2E25" w:rsidRDefault="00C03CB5" w:rsidP="00FA503B">
      <w:pPr>
        <w:pStyle w:val="ListParagraph"/>
        <w:numPr>
          <w:ilvl w:val="0"/>
          <w:numId w:val="5"/>
        </w:numPr>
        <w:spacing w:before="120"/>
        <w:rPr>
          <w:rFonts w:asciiTheme="majorBidi" w:hAnsiTheme="majorBidi" w:cstheme="majorBidi"/>
          <w:color w:val="000000"/>
          <w:sz w:val="28"/>
          <w:szCs w:val="28"/>
        </w:rPr>
      </w:pPr>
      <w:r w:rsidRPr="001E2E25">
        <w:rPr>
          <w:rFonts w:asciiTheme="majorBidi" w:hAnsiTheme="majorBidi" w:cstheme="majorBidi"/>
          <w:b/>
          <w:bCs/>
          <w:color w:val="000000"/>
          <w:sz w:val="28"/>
          <w:szCs w:val="28"/>
        </w:rPr>
        <w:t>Nuclear matrix protein 22(NMP22):</w:t>
      </w:r>
    </w:p>
    <w:p w14:paraId="56A9D2C5" w14:textId="77777777" w:rsidR="00C03CB5" w:rsidRDefault="00C03CB5" w:rsidP="00C03CB5">
      <w:pPr>
        <w:spacing w:before="120"/>
        <w:contextualSpacing/>
        <w:rPr>
          <w:rFonts w:asciiTheme="majorBidi" w:hAnsiTheme="majorBidi" w:cstheme="majorBidi"/>
          <w:color w:val="000000"/>
          <w:sz w:val="28"/>
          <w:szCs w:val="28"/>
        </w:rPr>
      </w:pPr>
      <w:bookmarkStart w:id="31" w:name="_Hlk71753215"/>
      <w:r w:rsidRPr="00BD2DAA">
        <w:rPr>
          <w:rFonts w:asciiTheme="majorBidi" w:hAnsiTheme="majorBidi" w:cstheme="majorBidi"/>
          <w:color w:val="000000"/>
          <w:sz w:val="28"/>
          <w:szCs w:val="28"/>
        </w:rPr>
        <w:t xml:space="preserve">NMP22 is a nuclear matrix protein </w:t>
      </w:r>
      <w:bookmarkEnd w:id="31"/>
      <w:r w:rsidRPr="00BD2DAA">
        <w:rPr>
          <w:rFonts w:asciiTheme="majorBidi" w:hAnsiTheme="majorBidi" w:cstheme="majorBidi"/>
          <w:color w:val="000000"/>
          <w:sz w:val="28"/>
          <w:szCs w:val="28"/>
        </w:rPr>
        <w:t>and is an important regulator of</w:t>
      </w:r>
      <w:r w:rsidRPr="00BD2DAA">
        <w:rPr>
          <w:rFonts w:asciiTheme="majorBidi" w:hAnsiTheme="majorBidi" w:cstheme="majorBidi"/>
          <w:color w:val="000000"/>
          <w:sz w:val="28"/>
          <w:szCs w:val="28"/>
        </w:rPr>
        <w:br/>
        <w:t>mitosis. In tumour cells the nuclear mitotic apparatus is elevated and</w:t>
      </w:r>
      <w:r w:rsidRPr="00BD2DAA">
        <w:rPr>
          <w:rFonts w:asciiTheme="majorBidi" w:hAnsiTheme="majorBidi" w:cstheme="majorBidi"/>
          <w:color w:val="000000"/>
          <w:sz w:val="28"/>
          <w:szCs w:val="28"/>
        </w:rPr>
        <w:br/>
        <w:t xml:space="preserve">NMP22 is released from cells in detectable levels </w:t>
      </w:r>
      <w:r w:rsidRPr="00BD2DAA">
        <w:rPr>
          <w:rFonts w:asciiTheme="majorBidi" w:hAnsiTheme="majorBidi" w:cstheme="majorBidi"/>
          <w:b/>
          <w:bCs/>
          <w:i/>
          <w:iCs/>
          <w:color w:val="000000"/>
          <w:sz w:val="28"/>
          <w:szCs w:val="28"/>
        </w:rPr>
        <w:t>(Vrooman and Witjes,</w:t>
      </w:r>
      <w:r w:rsidRPr="00BD2DAA">
        <w:rPr>
          <w:rFonts w:asciiTheme="majorBidi" w:hAnsiTheme="majorBidi" w:cstheme="majorBidi"/>
          <w:color w:val="000000"/>
          <w:sz w:val="28"/>
          <w:szCs w:val="28"/>
        </w:rPr>
        <w:br/>
      </w:r>
      <w:r w:rsidRPr="00BD2DAA">
        <w:rPr>
          <w:rFonts w:asciiTheme="majorBidi" w:hAnsiTheme="majorBidi" w:cstheme="majorBidi"/>
          <w:b/>
          <w:bCs/>
          <w:i/>
          <w:iCs/>
          <w:color w:val="000000"/>
          <w:sz w:val="28"/>
          <w:szCs w:val="28"/>
        </w:rPr>
        <w:t>2008)</w:t>
      </w:r>
      <w:r>
        <w:rPr>
          <w:rFonts w:asciiTheme="majorBidi" w:hAnsiTheme="majorBidi" w:cstheme="majorBidi"/>
          <w:color w:val="000000"/>
          <w:sz w:val="28"/>
          <w:szCs w:val="28"/>
        </w:rPr>
        <w:t>.</w:t>
      </w:r>
    </w:p>
    <w:p w14:paraId="4C07AEA6" w14:textId="77777777" w:rsidR="00C03CB5" w:rsidRPr="001E2E25" w:rsidRDefault="00C03CB5" w:rsidP="00FA503B">
      <w:pPr>
        <w:pStyle w:val="ListParagraph"/>
        <w:numPr>
          <w:ilvl w:val="0"/>
          <w:numId w:val="5"/>
        </w:numPr>
        <w:spacing w:before="120"/>
        <w:rPr>
          <w:rFonts w:asciiTheme="majorBidi" w:hAnsiTheme="majorBidi" w:cstheme="majorBidi"/>
          <w:color w:val="000000"/>
          <w:sz w:val="28"/>
          <w:szCs w:val="28"/>
        </w:rPr>
      </w:pPr>
      <w:r w:rsidRPr="001E2E25">
        <w:rPr>
          <w:rFonts w:asciiTheme="majorBidi" w:hAnsiTheme="majorBidi" w:cstheme="majorBidi"/>
          <w:b/>
          <w:bCs/>
          <w:color w:val="000000"/>
          <w:sz w:val="28"/>
          <w:szCs w:val="28"/>
        </w:rPr>
        <w:lastRenderedPageBreak/>
        <w:t>Cytokeratins:</w:t>
      </w:r>
    </w:p>
    <w:p w14:paraId="5DC40366" w14:textId="77777777" w:rsidR="00C03CB5" w:rsidRDefault="00C03CB5" w:rsidP="00C03CB5">
      <w:pPr>
        <w:spacing w:before="120"/>
        <w:rPr>
          <w:rFonts w:asciiTheme="majorBidi" w:hAnsiTheme="majorBidi" w:cstheme="majorBidi"/>
          <w:color w:val="000000"/>
          <w:sz w:val="28"/>
          <w:szCs w:val="28"/>
        </w:rPr>
      </w:pPr>
      <w:r w:rsidRPr="00BD2DAA">
        <w:rPr>
          <w:rFonts w:asciiTheme="majorBidi" w:hAnsiTheme="majorBidi" w:cstheme="majorBidi"/>
          <w:color w:val="000000"/>
          <w:sz w:val="28"/>
          <w:szCs w:val="28"/>
        </w:rPr>
        <w:t>Cytokeratins are intermediate filaments; their main function is to</w:t>
      </w:r>
      <w:r w:rsidRPr="00BD2DAA">
        <w:rPr>
          <w:rFonts w:asciiTheme="majorBidi" w:hAnsiTheme="majorBidi" w:cstheme="majorBidi"/>
          <w:color w:val="000000"/>
          <w:sz w:val="28"/>
          <w:szCs w:val="28"/>
        </w:rPr>
        <w:br/>
        <w:t>enable cells to withstand mechanical stress. In humans 20 different</w:t>
      </w:r>
      <w:r w:rsidRPr="00BD2DAA">
        <w:rPr>
          <w:rFonts w:asciiTheme="majorBidi" w:hAnsiTheme="majorBidi" w:cstheme="majorBidi"/>
          <w:color w:val="000000"/>
          <w:sz w:val="28"/>
          <w:szCs w:val="28"/>
        </w:rPr>
        <w:br/>
        <w:t>cytokeratin isotypes have been identified. Cytokeratins 8, 18, 19, and 20</w:t>
      </w:r>
      <w:r w:rsidRPr="00BD2DAA">
        <w:rPr>
          <w:rFonts w:asciiTheme="majorBidi" w:hAnsiTheme="majorBidi" w:cstheme="majorBidi"/>
          <w:color w:val="000000"/>
          <w:sz w:val="28"/>
          <w:szCs w:val="28"/>
        </w:rPr>
        <w:br/>
        <w:t>have been associated with bladder cancer. The Urinary Bladder Cancer</w:t>
      </w:r>
      <w:r w:rsidRPr="00BD2DAA">
        <w:rPr>
          <w:rFonts w:asciiTheme="majorBidi" w:hAnsiTheme="majorBidi" w:cstheme="majorBidi"/>
          <w:color w:val="000000"/>
          <w:sz w:val="28"/>
          <w:szCs w:val="28"/>
        </w:rPr>
        <w:br/>
        <w:t xml:space="preserve">test detects cytokeratin 8 and 18 fragments in urine </w:t>
      </w:r>
      <w:r w:rsidRPr="00BD2DAA">
        <w:rPr>
          <w:rFonts w:asciiTheme="majorBidi" w:hAnsiTheme="majorBidi" w:cstheme="majorBidi"/>
          <w:b/>
          <w:bCs/>
          <w:i/>
          <w:iCs/>
          <w:color w:val="000000"/>
          <w:sz w:val="28"/>
          <w:szCs w:val="28"/>
        </w:rPr>
        <w:t>(Vrooman and</w:t>
      </w:r>
      <w:r w:rsidRPr="00BD2DAA">
        <w:rPr>
          <w:rFonts w:asciiTheme="majorBidi" w:hAnsiTheme="majorBidi" w:cstheme="majorBidi"/>
          <w:color w:val="000000"/>
          <w:sz w:val="28"/>
          <w:szCs w:val="28"/>
        </w:rPr>
        <w:br/>
      </w:r>
      <w:r w:rsidRPr="00BD2DAA">
        <w:rPr>
          <w:rFonts w:asciiTheme="majorBidi" w:hAnsiTheme="majorBidi" w:cstheme="majorBidi"/>
          <w:b/>
          <w:bCs/>
          <w:i/>
          <w:iCs/>
          <w:color w:val="000000"/>
          <w:sz w:val="28"/>
          <w:szCs w:val="28"/>
        </w:rPr>
        <w:t>Witjes, 2008)</w:t>
      </w:r>
      <w:r>
        <w:rPr>
          <w:rFonts w:asciiTheme="majorBidi" w:hAnsiTheme="majorBidi" w:cstheme="majorBidi"/>
          <w:color w:val="000000"/>
          <w:sz w:val="28"/>
          <w:szCs w:val="28"/>
        </w:rPr>
        <w:t>.</w:t>
      </w:r>
    </w:p>
    <w:p w14:paraId="43C34BE0" w14:textId="77777777" w:rsidR="00C03CB5" w:rsidRDefault="00C03CB5" w:rsidP="001E2E25">
      <w:pPr>
        <w:spacing w:before="240" w:after="240"/>
        <w:rPr>
          <w:rFonts w:asciiTheme="majorBidi" w:hAnsiTheme="majorBidi" w:cstheme="majorBidi"/>
          <w:color w:val="000000"/>
          <w:sz w:val="28"/>
          <w:szCs w:val="28"/>
        </w:rPr>
      </w:pPr>
      <w:bookmarkStart w:id="32" w:name="_Hlk71753284"/>
      <w:r w:rsidRPr="00BD2DAA">
        <w:rPr>
          <w:rFonts w:asciiTheme="majorBidi" w:hAnsiTheme="majorBidi" w:cstheme="majorBidi"/>
          <w:color w:val="000000"/>
          <w:sz w:val="28"/>
          <w:szCs w:val="28"/>
        </w:rPr>
        <w:t>Cytokeratin 19 fragment (CYFRA 21-1</w:t>
      </w:r>
      <w:bookmarkEnd w:id="32"/>
      <w:r w:rsidRPr="00BD2DAA">
        <w:rPr>
          <w:rFonts w:asciiTheme="majorBidi" w:hAnsiTheme="majorBidi" w:cstheme="majorBidi"/>
          <w:color w:val="000000"/>
          <w:sz w:val="28"/>
          <w:szCs w:val="28"/>
        </w:rPr>
        <w:t>) is a soluble fragment of</w:t>
      </w:r>
      <w:r w:rsidRPr="00BD2DAA">
        <w:rPr>
          <w:rFonts w:asciiTheme="majorBidi" w:hAnsiTheme="majorBidi" w:cstheme="majorBidi"/>
          <w:color w:val="000000"/>
          <w:sz w:val="28"/>
          <w:szCs w:val="28"/>
        </w:rPr>
        <w:br/>
        <w:t xml:space="preserve">cytokeratin 19, is analysed with </w:t>
      </w:r>
      <w:bookmarkStart w:id="33" w:name="_Hlk71753364"/>
      <w:r w:rsidRPr="00BD2DAA">
        <w:rPr>
          <w:rFonts w:asciiTheme="majorBidi" w:hAnsiTheme="majorBidi" w:cstheme="majorBidi"/>
          <w:color w:val="000000"/>
          <w:sz w:val="28"/>
          <w:szCs w:val="28"/>
        </w:rPr>
        <w:t>Enzyme-linked immunosorbent assay</w:t>
      </w:r>
      <w:r w:rsidRPr="00BD2DAA">
        <w:rPr>
          <w:rFonts w:asciiTheme="majorBidi" w:hAnsiTheme="majorBidi" w:cstheme="majorBidi"/>
          <w:color w:val="000000"/>
          <w:sz w:val="28"/>
          <w:szCs w:val="28"/>
        </w:rPr>
        <w:br/>
        <w:t>(ELISA</w:t>
      </w:r>
      <w:bookmarkEnd w:id="33"/>
      <w:r w:rsidRPr="00BD2DAA">
        <w:rPr>
          <w:rFonts w:asciiTheme="majorBidi" w:hAnsiTheme="majorBidi" w:cstheme="majorBidi"/>
          <w:color w:val="000000"/>
          <w:sz w:val="28"/>
          <w:szCs w:val="28"/>
        </w:rPr>
        <w:t xml:space="preserve">), and is measurable in serum and urine </w:t>
      </w:r>
      <w:r w:rsidRPr="00BD2DAA">
        <w:rPr>
          <w:rFonts w:asciiTheme="majorBidi" w:hAnsiTheme="majorBidi" w:cstheme="majorBidi"/>
          <w:b/>
          <w:bCs/>
          <w:i/>
          <w:iCs/>
          <w:color w:val="000000"/>
          <w:sz w:val="28"/>
          <w:szCs w:val="28"/>
        </w:rPr>
        <w:t>(Pariente et al., 2000)</w:t>
      </w:r>
      <w:r>
        <w:rPr>
          <w:rFonts w:asciiTheme="majorBidi" w:hAnsiTheme="majorBidi" w:cstheme="majorBidi"/>
          <w:color w:val="000000"/>
          <w:sz w:val="28"/>
          <w:szCs w:val="28"/>
        </w:rPr>
        <w:t>.</w:t>
      </w:r>
    </w:p>
    <w:p w14:paraId="3642B8D3" w14:textId="77777777" w:rsidR="00C03CB5" w:rsidRPr="001E2E25" w:rsidRDefault="00C03CB5" w:rsidP="00FA503B">
      <w:pPr>
        <w:pStyle w:val="ListParagraph"/>
        <w:numPr>
          <w:ilvl w:val="0"/>
          <w:numId w:val="5"/>
        </w:numPr>
        <w:spacing w:before="120"/>
        <w:ind w:left="270" w:hanging="270"/>
        <w:rPr>
          <w:rFonts w:asciiTheme="majorBidi" w:hAnsiTheme="majorBidi" w:cstheme="majorBidi"/>
          <w:color w:val="000000"/>
          <w:sz w:val="28"/>
          <w:szCs w:val="28"/>
        </w:rPr>
      </w:pPr>
      <w:r w:rsidRPr="001E2E25">
        <w:rPr>
          <w:rFonts w:asciiTheme="majorBidi" w:hAnsiTheme="majorBidi" w:cstheme="majorBidi"/>
          <w:b/>
          <w:bCs/>
          <w:color w:val="000000"/>
          <w:sz w:val="28"/>
          <w:szCs w:val="28"/>
        </w:rPr>
        <w:t>Survivin:</w:t>
      </w:r>
    </w:p>
    <w:p w14:paraId="38B9586F" w14:textId="77777777" w:rsidR="00C03CB5" w:rsidRDefault="00C03CB5" w:rsidP="00C03CB5">
      <w:pPr>
        <w:spacing w:before="120"/>
        <w:contextualSpacing/>
        <w:rPr>
          <w:rFonts w:asciiTheme="majorBidi" w:hAnsiTheme="majorBidi" w:cstheme="majorBidi"/>
          <w:b/>
          <w:bCs/>
          <w:i/>
          <w:iCs/>
          <w:color w:val="000000"/>
          <w:sz w:val="30"/>
          <w:szCs w:val="30"/>
        </w:rPr>
      </w:pPr>
      <w:r w:rsidRPr="00BD2DAA">
        <w:rPr>
          <w:rFonts w:asciiTheme="majorBidi" w:hAnsiTheme="majorBidi" w:cstheme="majorBidi"/>
          <w:color w:val="000000"/>
          <w:sz w:val="28"/>
          <w:szCs w:val="28"/>
        </w:rPr>
        <w:t>Survivin is a member of the family of proteins that regulate cell</w:t>
      </w:r>
      <w:r w:rsidRPr="00BD2DAA">
        <w:rPr>
          <w:rFonts w:asciiTheme="majorBidi" w:hAnsiTheme="majorBidi" w:cstheme="majorBidi"/>
          <w:color w:val="000000"/>
          <w:sz w:val="28"/>
          <w:szCs w:val="28"/>
        </w:rPr>
        <w:br/>
        <w:t>death, the so-called inhibitor of apoptosis family. Its overexpression</w:t>
      </w:r>
      <w:r w:rsidRPr="00BD2DAA">
        <w:rPr>
          <w:rFonts w:asciiTheme="majorBidi" w:hAnsiTheme="majorBidi" w:cstheme="majorBidi"/>
          <w:color w:val="000000"/>
          <w:sz w:val="28"/>
          <w:szCs w:val="28"/>
        </w:rPr>
        <w:br/>
        <w:t xml:space="preserve">inhibits extrinsic and intrinsic pathways of apoptosis </w:t>
      </w:r>
      <w:r w:rsidRPr="00BD2DAA">
        <w:rPr>
          <w:rFonts w:asciiTheme="majorBidi" w:hAnsiTheme="majorBidi" w:cstheme="majorBidi"/>
          <w:b/>
          <w:bCs/>
          <w:i/>
          <w:iCs/>
          <w:color w:val="000000"/>
          <w:sz w:val="28"/>
          <w:szCs w:val="28"/>
        </w:rPr>
        <w:t>(Moussa et al.,</w:t>
      </w:r>
      <w:r w:rsidRPr="00BD2DAA">
        <w:rPr>
          <w:rFonts w:asciiTheme="majorBidi" w:hAnsiTheme="majorBidi" w:cstheme="majorBidi"/>
          <w:color w:val="000000"/>
          <w:sz w:val="28"/>
          <w:szCs w:val="28"/>
        </w:rPr>
        <w:br/>
      </w:r>
      <w:r w:rsidRPr="00BD2DAA">
        <w:rPr>
          <w:rFonts w:asciiTheme="majorBidi" w:hAnsiTheme="majorBidi" w:cstheme="majorBidi"/>
          <w:b/>
          <w:bCs/>
          <w:i/>
          <w:iCs/>
          <w:color w:val="000000"/>
          <w:sz w:val="28"/>
          <w:szCs w:val="28"/>
        </w:rPr>
        <w:t>2006)</w:t>
      </w:r>
      <w:r w:rsidRPr="00BD2DAA">
        <w:rPr>
          <w:rFonts w:asciiTheme="majorBidi" w:hAnsiTheme="majorBidi" w:cstheme="majorBidi"/>
          <w:color w:val="000000"/>
          <w:sz w:val="28"/>
          <w:szCs w:val="28"/>
        </w:rPr>
        <w:t>. Survivin is expressed during foetal development but not in</w:t>
      </w:r>
      <w:r w:rsidRPr="00BD2DAA">
        <w:rPr>
          <w:rFonts w:asciiTheme="majorBidi" w:hAnsiTheme="majorBidi" w:cstheme="majorBidi"/>
          <w:color w:val="000000"/>
          <w:sz w:val="28"/>
          <w:szCs w:val="28"/>
        </w:rPr>
        <w:br/>
        <w:t xml:space="preserve">terminally differentiated adult tissues </w:t>
      </w:r>
      <w:r w:rsidRPr="00BD2DAA">
        <w:rPr>
          <w:rFonts w:asciiTheme="majorBidi" w:hAnsiTheme="majorBidi" w:cstheme="majorBidi"/>
          <w:b/>
          <w:bCs/>
          <w:i/>
          <w:iCs/>
          <w:color w:val="000000"/>
          <w:sz w:val="28"/>
          <w:szCs w:val="28"/>
        </w:rPr>
        <w:t>(Dabrowski et al., 2004)</w:t>
      </w:r>
      <w:r w:rsidRPr="00BD2DAA">
        <w:rPr>
          <w:rFonts w:asciiTheme="majorBidi" w:hAnsiTheme="majorBidi" w:cstheme="majorBidi"/>
          <w:color w:val="000000"/>
          <w:sz w:val="28"/>
          <w:szCs w:val="28"/>
        </w:rPr>
        <w:t>.</w:t>
      </w:r>
      <w:r w:rsidRPr="00BD2DAA">
        <w:rPr>
          <w:rFonts w:asciiTheme="majorBidi" w:hAnsiTheme="majorBidi" w:cstheme="majorBidi"/>
          <w:color w:val="000000"/>
          <w:sz w:val="28"/>
          <w:szCs w:val="28"/>
        </w:rPr>
        <w:br/>
        <w:t xml:space="preserve">However, it is one of the </w:t>
      </w:r>
      <w:proofErr w:type="gramStart"/>
      <w:r w:rsidRPr="00BD2DAA">
        <w:rPr>
          <w:rFonts w:asciiTheme="majorBidi" w:hAnsiTheme="majorBidi" w:cstheme="majorBidi"/>
          <w:color w:val="000000"/>
          <w:sz w:val="28"/>
          <w:szCs w:val="28"/>
        </w:rPr>
        <w:t>most commonly overexpressed</w:t>
      </w:r>
      <w:proofErr w:type="gramEnd"/>
      <w:r w:rsidRPr="00BD2DAA">
        <w:rPr>
          <w:rFonts w:asciiTheme="majorBidi" w:hAnsiTheme="majorBidi" w:cstheme="majorBidi"/>
          <w:color w:val="000000"/>
          <w:sz w:val="28"/>
          <w:szCs w:val="28"/>
        </w:rPr>
        <w:t xml:space="preserve"> genes in cancer</w:t>
      </w:r>
      <w:r w:rsidRPr="00BD2DAA">
        <w:rPr>
          <w:rFonts w:asciiTheme="majorBidi" w:hAnsiTheme="majorBidi" w:cstheme="majorBidi"/>
          <w:color w:val="000000"/>
          <w:sz w:val="28"/>
          <w:szCs w:val="28"/>
        </w:rPr>
        <w:br/>
      </w:r>
      <w:r w:rsidRPr="00BD2DAA">
        <w:rPr>
          <w:rFonts w:asciiTheme="majorBidi" w:hAnsiTheme="majorBidi" w:cstheme="majorBidi"/>
          <w:b/>
          <w:bCs/>
          <w:i/>
          <w:iCs/>
          <w:color w:val="000000"/>
          <w:sz w:val="28"/>
          <w:szCs w:val="28"/>
        </w:rPr>
        <w:t>(Black et al., 2006)</w:t>
      </w:r>
      <w:r w:rsidRPr="00BD2DAA">
        <w:rPr>
          <w:rFonts w:asciiTheme="majorBidi" w:hAnsiTheme="majorBidi" w:cstheme="majorBidi"/>
          <w:color w:val="000000"/>
          <w:sz w:val="28"/>
          <w:szCs w:val="28"/>
        </w:rPr>
        <w:t>. In bladder cancer, survivin is expressed in urine, and</w:t>
      </w:r>
      <w:r w:rsidRPr="00BD2DAA">
        <w:rPr>
          <w:rFonts w:asciiTheme="majorBidi" w:hAnsiTheme="majorBidi" w:cstheme="majorBidi"/>
          <w:color w:val="000000"/>
          <w:sz w:val="28"/>
          <w:szCs w:val="28"/>
        </w:rPr>
        <w:br/>
        <w:t xml:space="preserve">its expression is associated with disease recurrence, stage, </w:t>
      </w:r>
      <w:proofErr w:type="gramStart"/>
      <w:r w:rsidRPr="00BD2DAA">
        <w:rPr>
          <w:rFonts w:asciiTheme="majorBidi" w:hAnsiTheme="majorBidi" w:cstheme="majorBidi"/>
          <w:color w:val="000000"/>
          <w:sz w:val="28"/>
          <w:szCs w:val="28"/>
        </w:rPr>
        <w:t>progression</w:t>
      </w:r>
      <w:proofErr w:type="gramEnd"/>
      <w:r w:rsidRPr="00BD2DAA">
        <w:rPr>
          <w:rFonts w:asciiTheme="majorBidi" w:hAnsiTheme="majorBidi" w:cstheme="majorBidi"/>
          <w:color w:val="000000"/>
          <w:sz w:val="28"/>
          <w:szCs w:val="28"/>
        </w:rPr>
        <w:t xml:space="preserve"> and mortality </w:t>
      </w:r>
      <w:r w:rsidRPr="00BD2DAA">
        <w:rPr>
          <w:rFonts w:asciiTheme="majorBidi" w:hAnsiTheme="majorBidi" w:cstheme="majorBidi"/>
          <w:b/>
          <w:bCs/>
          <w:i/>
          <w:iCs/>
          <w:color w:val="000000"/>
          <w:sz w:val="28"/>
          <w:szCs w:val="28"/>
        </w:rPr>
        <w:t>(Shariat et al., 2007)</w:t>
      </w:r>
      <w:r w:rsidRPr="00BD2DAA">
        <w:rPr>
          <w:rFonts w:asciiTheme="majorBidi" w:hAnsiTheme="majorBidi" w:cstheme="majorBidi"/>
          <w:color w:val="000000"/>
          <w:sz w:val="28"/>
          <w:szCs w:val="28"/>
        </w:rPr>
        <w:t xml:space="preserve">. </w:t>
      </w:r>
      <w:bookmarkStart w:id="34" w:name="_Hlk71753397"/>
      <w:r w:rsidRPr="00BD2DAA">
        <w:rPr>
          <w:rFonts w:asciiTheme="majorBidi" w:hAnsiTheme="majorBidi" w:cstheme="majorBidi"/>
          <w:color w:val="000000"/>
          <w:sz w:val="28"/>
          <w:szCs w:val="28"/>
        </w:rPr>
        <w:t>Reverse transcription polymerase</w:t>
      </w:r>
      <w:r w:rsidRPr="00BD2DAA">
        <w:rPr>
          <w:rFonts w:asciiTheme="majorBidi" w:hAnsiTheme="majorBidi" w:cstheme="majorBidi"/>
          <w:color w:val="000000"/>
          <w:sz w:val="28"/>
          <w:szCs w:val="28"/>
        </w:rPr>
        <w:br/>
        <w:t>chain reaction (RT-PCR</w:t>
      </w:r>
      <w:bookmarkEnd w:id="34"/>
      <w:r w:rsidRPr="00BD2DAA">
        <w:rPr>
          <w:rFonts w:asciiTheme="majorBidi" w:hAnsiTheme="majorBidi" w:cstheme="majorBidi"/>
          <w:color w:val="000000"/>
          <w:sz w:val="28"/>
          <w:szCs w:val="28"/>
        </w:rPr>
        <w:t>) provides a diagnostic tool to detect survivin</w:t>
      </w:r>
      <w:r w:rsidRPr="00BD2DAA">
        <w:rPr>
          <w:rFonts w:asciiTheme="majorBidi" w:hAnsiTheme="majorBidi" w:cstheme="majorBidi"/>
          <w:color w:val="000000"/>
          <w:sz w:val="28"/>
          <w:szCs w:val="28"/>
        </w:rPr>
        <w:br/>
      </w:r>
      <w:bookmarkStart w:id="35" w:name="_Hlk71753427"/>
      <w:r w:rsidRPr="00BD2DAA">
        <w:rPr>
          <w:rFonts w:asciiTheme="majorBidi" w:hAnsiTheme="majorBidi" w:cstheme="majorBidi"/>
          <w:color w:val="000000"/>
          <w:sz w:val="28"/>
          <w:szCs w:val="28"/>
        </w:rPr>
        <w:t>messenger RNA (mRNA</w:t>
      </w:r>
      <w:bookmarkEnd w:id="35"/>
      <w:r w:rsidRPr="00BD2DAA">
        <w:rPr>
          <w:rFonts w:asciiTheme="majorBidi" w:hAnsiTheme="majorBidi" w:cstheme="majorBidi"/>
          <w:color w:val="000000"/>
          <w:sz w:val="28"/>
          <w:szCs w:val="28"/>
        </w:rPr>
        <w:t xml:space="preserve">) in urine </w:t>
      </w:r>
      <w:r w:rsidRPr="00BD2DAA">
        <w:rPr>
          <w:rFonts w:asciiTheme="majorBidi" w:hAnsiTheme="majorBidi" w:cstheme="majorBidi"/>
          <w:b/>
          <w:bCs/>
          <w:i/>
          <w:iCs/>
          <w:color w:val="000000"/>
          <w:sz w:val="28"/>
          <w:szCs w:val="28"/>
        </w:rPr>
        <w:t>(Vrooman and Witjes, 2008)</w:t>
      </w:r>
      <w:r w:rsidRPr="00BD2DAA">
        <w:rPr>
          <w:rFonts w:asciiTheme="majorBidi" w:hAnsiTheme="majorBidi" w:cstheme="majorBidi"/>
          <w:color w:val="000000"/>
          <w:sz w:val="28"/>
          <w:szCs w:val="28"/>
        </w:rPr>
        <w:t>.</w:t>
      </w:r>
      <w:r w:rsidRPr="00BD2DAA">
        <w:rPr>
          <w:rFonts w:asciiTheme="majorBidi" w:hAnsiTheme="majorBidi" w:cstheme="majorBidi"/>
          <w:b/>
          <w:bCs/>
          <w:i/>
          <w:iCs/>
          <w:color w:val="000000"/>
          <w:sz w:val="30"/>
          <w:szCs w:val="30"/>
        </w:rPr>
        <w:t xml:space="preserve"> </w:t>
      </w:r>
    </w:p>
    <w:p w14:paraId="398275BD" w14:textId="77777777" w:rsidR="001E2E25" w:rsidRPr="001E2E25" w:rsidRDefault="00C03CB5" w:rsidP="00FA503B">
      <w:pPr>
        <w:pStyle w:val="ListParagraph"/>
        <w:numPr>
          <w:ilvl w:val="0"/>
          <w:numId w:val="5"/>
        </w:numPr>
        <w:tabs>
          <w:tab w:val="left" w:pos="360"/>
        </w:tabs>
        <w:spacing w:before="120" w:after="120" w:line="360" w:lineRule="auto"/>
        <w:ind w:left="270" w:hanging="180"/>
        <w:rPr>
          <w:rFonts w:asciiTheme="majorBidi" w:hAnsiTheme="majorBidi" w:cstheme="majorBidi"/>
          <w:color w:val="000000"/>
          <w:sz w:val="28"/>
          <w:szCs w:val="28"/>
        </w:rPr>
      </w:pPr>
      <w:r w:rsidRPr="001E2E25">
        <w:rPr>
          <w:rFonts w:asciiTheme="majorBidi" w:hAnsiTheme="majorBidi" w:cstheme="majorBidi"/>
          <w:b/>
          <w:bCs/>
          <w:color w:val="000000"/>
          <w:sz w:val="28"/>
          <w:szCs w:val="28"/>
        </w:rPr>
        <w:t>microRNA:</w:t>
      </w:r>
      <w:r w:rsidRPr="001E2E25">
        <w:rPr>
          <w:rFonts w:asciiTheme="majorBidi" w:hAnsiTheme="majorBidi" w:cstheme="majorBidi"/>
          <w:color w:val="000000"/>
          <w:sz w:val="28"/>
          <w:szCs w:val="28"/>
        </w:rPr>
        <w:t xml:space="preserve"> </w:t>
      </w:r>
    </w:p>
    <w:p w14:paraId="5CEB9E36" w14:textId="77777777" w:rsidR="00C03CB5" w:rsidRPr="001E2E25" w:rsidRDefault="00C03CB5" w:rsidP="001E2E25">
      <w:pPr>
        <w:pStyle w:val="ListParagraph"/>
        <w:spacing w:before="120" w:after="120" w:line="360" w:lineRule="auto"/>
        <w:ind w:left="0" w:firstLine="630"/>
        <w:jc w:val="both"/>
        <w:rPr>
          <w:rFonts w:asciiTheme="majorBidi" w:hAnsiTheme="majorBidi" w:cstheme="majorBidi"/>
          <w:color w:val="000000"/>
          <w:sz w:val="28"/>
          <w:szCs w:val="28"/>
        </w:rPr>
      </w:pPr>
      <w:r w:rsidRPr="001E2E25">
        <w:rPr>
          <w:rFonts w:asciiTheme="majorBidi" w:hAnsiTheme="majorBidi" w:cstheme="majorBidi"/>
          <w:color w:val="000000"/>
          <w:sz w:val="28"/>
          <w:szCs w:val="28"/>
        </w:rPr>
        <w:t xml:space="preserve">microRNAs are receiving growing attention because of numerous reports on their dysregulation in human diseases and their potential as diagnostic and therapeutic targets. Because of their stability and presence in almost all body </w:t>
      </w:r>
      <w:r w:rsidRPr="001E2E25">
        <w:rPr>
          <w:rFonts w:asciiTheme="majorBidi" w:hAnsiTheme="majorBidi" w:cstheme="majorBidi"/>
          <w:color w:val="000000"/>
          <w:sz w:val="28"/>
          <w:szCs w:val="28"/>
        </w:rPr>
        <w:lastRenderedPageBreak/>
        <w:t xml:space="preserve">fluids, miRNAs constitute a novel class of noninvasive biomarkers </w:t>
      </w:r>
      <w:r w:rsidRPr="001E2E25">
        <w:rPr>
          <w:rFonts w:asciiTheme="majorBidi" w:hAnsiTheme="majorBidi" w:cstheme="majorBidi"/>
          <w:b/>
          <w:bCs/>
          <w:i/>
          <w:iCs/>
          <w:color w:val="000000"/>
          <w:sz w:val="28"/>
          <w:szCs w:val="28"/>
        </w:rPr>
        <w:t>(Brase et al., 2010)</w:t>
      </w:r>
      <w:r w:rsidRPr="001E2E25">
        <w:rPr>
          <w:rFonts w:asciiTheme="majorBidi" w:hAnsiTheme="majorBidi" w:cstheme="majorBidi"/>
          <w:i/>
          <w:iCs/>
          <w:color w:val="000000"/>
          <w:sz w:val="28"/>
          <w:szCs w:val="28"/>
        </w:rPr>
        <w:t xml:space="preserve">. </w:t>
      </w:r>
    </w:p>
    <w:p w14:paraId="5621738E" w14:textId="77777777" w:rsidR="00C03CB5" w:rsidRDefault="00C03CB5" w:rsidP="001E2E25">
      <w:pPr>
        <w:spacing w:before="120" w:after="120"/>
        <w:rPr>
          <w:rFonts w:asciiTheme="majorBidi" w:hAnsiTheme="majorBidi" w:cstheme="majorBidi"/>
          <w:color w:val="000000"/>
          <w:sz w:val="28"/>
          <w:szCs w:val="28"/>
        </w:rPr>
      </w:pPr>
      <w:r>
        <w:rPr>
          <w:rFonts w:asciiTheme="majorBidi" w:hAnsiTheme="majorBidi" w:cstheme="majorBidi"/>
          <w:color w:val="000000"/>
          <w:sz w:val="28"/>
          <w:szCs w:val="28"/>
        </w:rPr>
        <w:t xml:space="preserve">Some </w:t>
      </w:r>
      <w:bookmarkStart w:id="36" w:name="_Hlk71753455"/>
      <w:r>
        <w:rPr>
          <w:rFonts w:asciiTheme="majorBidi" w:hAnsiTheme="majorBidi" w:cstheme="majorBidi"/>
          <w:color w:val="000000"/>
          <w:sz w:val="28"/>
          <w:szCs w:val="28"/>
        </w:rPr>
        <w:t>miRNA</w:t>
      </w:r>
      <w:bookmarkEnd w:id="36"/>
      <w:r>
        <w:rPr>
          <w:rFonts w:asciiTheme="majorBidi" w:hAnsiTheme="majorBidi" w:cstheme="majorBidi"/>
          <w:color w:val="000000"/>
          <w:sz w:val="28"/>
          <w:szCs w:val="28"/>
        </w:rPr>
        <w:t xml:space="preserve">s have been </w:t>
      </w:r>
      <w:r w:rsidRPr="00BD2DAA">
        <w:rPr>
          <w:rFonts w:asciiTheme="majorBidi" w:hAnsiTheme="majorBidi" w:cstheme="majorBidi"/>
          <w:color w:val="000000"/>
          <w:sz w:val="28"/>
          <w:szCs w:val="28"/>
        </w:rPr>
        <w:t xml:space="preserve">reported to be </w:t>
      </w:r>
      <w:proofErr w:type="gramStart"/>
      <w:r w:rsidRPr="00BD2DAA">
        <w:rPr>
          <w:rFonts w:asciiTheme="majorBidi" w:hAnsiTheme="majorBidi" w:cstheme="majorBidi"/>
          <w:color w:val="000000"/>
          <w:sz w:val="28"/>
          <w:szCs w:val="28"/>
        </w:rPr>
        <w:t>up-regulated</w:t>
      </w:r>
      <w:proofErr w:type="gramEnd"/>
      <w:r w:rsidRPr="00BD2DAA">
        <w:rPr>
          <w:rFonts w:asciiTheme="majorBidi" w:hAnsiTheme="majorBidi" w:cstheme="majorBidi"/>
          <w:color w:val="000000"/>
          <w:sz w:val="28"/>
          <w:szCs w:val="28"/>
        </w:rPr>
        <w:t xml:space="preserve"> in bladder cancer tissues. For exampl</w:t>
      </w:r>
      <w:r>
        <w:rPr>
          <w:rFonts w:asciiTheme="majorBidi" w:hAnsiTheme="majorBidi" w:cstheme="majorBidi"/>
          <w:color w:val="000000"/>
          <w:sz w:val="28"/>
          <w:szCs w:val="28"/>
        </w:rPr>
        <w:t>e, miR-</w:t>
      </w:r>
      <w:r w:rsidRPr="00BD2DAA">
        <w:rPr>
          <w:rFonts w:asciiTheme="majorBidi" w:hAnsiTheme="majorBidi" w:cstheme="majorBidi"/>
          <w:color w:val="000000"/>
          <w:sz w:val="28"/>
          <w:szCs w:val="28"/>
        </w:rPr>
        <w:t xml:space="preserve">129 was the </w:t>
      </w:r>
      <w:proofErr w:type="gramStart"/>
      <w:r w:rsidRPr="00BD2DAA">
        <w:rPr>
          <w:rFonts w:asciiTheme="majorBidi" w:hAnsiTheme="majorBidi" w:cstheme="majorBidi"/>
          <w:color w:val="000000"/>
          <w:sz w:val="28"/>
          <w:szCs w:val="28"/>
        </w:rPr>
        <w:t>most commonly upregu</w:t>
      </w:r>
      <w:r>
        <w:rPr>
          <w:rFonts w:asciiTheme="majorBidi" w:hAnsiTheme="majorBidi" w:cstheme="majorBidi"/>
          <w:color w:val="000000"/>
          <w:sz w:val="28"/>
          <w:szCs w:val="28"/>
        </w:rPr>
        <w:t>lated</w:t>
      </w:r>
      <w:proofErr w:type="gramEnd"/>
      <w:r>
        <w:rPr>
          <w:rFonts w:asciiTheme="majorBidi" w:hAnsiTheme="majorBidi" w:cstheme="majorBidi"/>
          <w:color w:val="000000"/>
          <w:sz w:val="28"/>
          <w:szCs w:val="28"/>
        </w:rPr>
        <w:t xml:space="preserve"> and its up-regulation was </w:t>
      </w:r>
      <w:r w:rsidRPr="00BD2DAA">
        <w:rPr>
          <w:rFonts w:asciiTheme="majorBidi" w:hAnsiTheme="majorBidi" w:cstheme="majorBidi"/>
          <w:color w:val="000000"/>
          <w:sz w:val="28"/>
          <w:szCs w:val="28"/>
        </w:rPr>
        <w:t xml:space="preserve">associated with poor outcome </w:t>
      </w:r>
      <w:r w:rsidRPr="00BD2DAA">
        <w:rPr>
          <w:rFonts w:asciiTheme="majorBidi" w:hAnsiTheme="majorBidi" w:cstheme="majorBidi"/>
          <w:b/>
          <w:bCs/>
          <w:color w:val="000000"/>
          <w:sz w:val="28"/>
          <w:szCs w:val="28"/>
        </w:rPr>
        <w:t>(</w:t>
      </w:r>
      <w:r w:rsidRPr="00BD2DAA">
        <w:rPr>
          <w:rFonts w:asciiTheme="majorBidi" w:hAnsiTheme="majorBidi" w:cstheme="majorBidi"/>
          <w:b/>
          <w:bCs/>
          <w:i/>
          <w:iCs/>
          <w:color w:val="000000"/>
          <w:sz w:val="28"/>
          <w:szCs w:val="28"/>
        </w:rPr>
        <w:t>Dyrskjøt et al., 2009)</w:t>
      </w:r>
      <w:r>
        <w:rPr>
          <w:rFonts w:asciiTheme="majorBidi" w:hAnsiTheme="majorBidi" w:cstheme="majorBidi"/>
          <w:color w:val="000000"/>
          <w:sz w:val="28"/>
          <w:szCs w:val="28"/>
        </w:rPr>
        <w:t xml:space="preserve">; the expression of </w:t>
      </w:r>
      <w:r w:rsidRPr="00BD2DAA">
        <w:rPr>
          <w:rFonts w:asciiTheme="majorBidi" w:hAnsiTheme="majorBidi" w:cstheme="majorBidi"/>
          <w:color w:val="000000"/>
          <w:sz w:val="28"/>
          <w:szCs w:val="28"/>
        </w:rPr>
        <w:t>miR-96 and miR-183 in urine were sign</w:t>
      </w:r>
      <w:r>
        <w:rPr>
          <w:rFonts w:asciiTheme="majorBidi" w:hAnsiTheme="majorBidi" w:cstheme="majorBidi"/>
          <w:color w:val="000000"/>
          <w:sz w:val="28"/>
          <w:szCs w:val="28"/>
        </w:rPr>
        <w:t xml:space="preserve">ificantly correlated with tumor </w:t>
      </w:r>
      <w:r w:rsidRPr="00BD2DAA">
        <w:rPr>
          <w:rFonts w:asciiTheme="majorBidi" w:hAnsiTheme="majorBidi" w:cstheme="majorBidi"/>
          <w:color w:val="000000"/>
          <w:sz w:val="28"/>
          <w:szCs w:val="28"/>
        </w:rPr>
        <w:t>stage and grade, and their expressions were</w:t>
      </w:r>
      <w:r>
        <w:rPr>
          <w:rFonts w:asciiTheme="majorBidi" w:hAnsiTheme="majorBidi" w:cstheme="majorBidi"/>
          <w:color w:val="000000"/>
          <w:sz w:val="28"/>
          <w:szCs w:val="28"/>
        </w:rPr>
        <w:t xml:space="preserve"> significantly decreased after </w:t>
      </w:r>
      <w:r w:rsidRPr="00BD2DAA">
        <w:rPr>
          <w:rFonts w:asciiTheme="majorBidi" w:hAnsiTheme="majorBidi" w:cstheme="majorBidi"/>
          <w:color w:val="000000"/>
          <w:sz w:val="28"/>
          <w:szCs w:val="28"/>
        </w:rPr>
        <w:t xml:space="preserve">radical surgery </w:t>
      </w:r>
      <w:r w:rsidRPr="00BD2DAA">
        <w:rPr>
          <w:rFonts w:asciiTheme="majorBidi" w:hAnsiTheme="majorBidi" w:cstheme="majorBidi"/>
          <w:b/>
          <w:bCs/>
          <w:i/>
          <w:iCs/>
          <w:color w:val="000000"/>
          <w:sz w:val="28"/>
          <w:szCs w:val="28"/>
        </w:rPr>
        <w:t>(Yamada et al., 2011)</w:t>
      </w:r>
      <w:r w:rsidRPr="00BD2DAA">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miR-133b and miR-518c were also </w:t>
      </w:r>
      <w:r w:rsidRPr="00BD2DAA">
        <w:rPr>
          <w:rFonts w:asciiTheme="majorBidi" w:hAnsiTheme="majorBidi" w:cstheme="majorBidi"/>
          <w:color w:val="000000"/>
          <w:sz w:val="28"/>
          <w:szCs w:val="28"/>
        </w:rPr>
        <w:t xml:space="preserve">strongly up-regulated in bladder cancer tissues </w:t>
      </w:r>
      <w:r w:rsidRPr="00BD2DAA">
        <w:rPr>
          <w:rFonts w:asciiTheme="majorBidi" w:hAnsiTheme="majorBidi" w:cstheme="majorBidi"/>
          <w:b/>
          <w:bCs/>
          <w:color w:val="000000"/>
          <w:sz w:val="28"/>
          <w:szCs w:val="28"/>
        </w:rPr>
        <w:t>(</w:t>
      </w:r>
      <w:r w:rsidRPr="00BD2DAA">
        <w:rPr>
          <w:rFonts w:asciiTheme="majorBidi" w:hAnsiTheme="majorBidi" w:cstheme="majorBidi"/>
          <w:b/>
          <w:bCs/>
          <w:i/>
          <w:iCs/>
          <w:color w:val="000000"/>
          <w:sz w:val="28"/>
          <w:szCs w:val="28"/>
        </w:rPr>
        <w:t>Dyrskjøt et al., 2009)</w:t>
      </w:r>
      <w:r>
        <w:rPr>
          <w:rFonts w:asciiTheme="majorBidi" w:hAnsiTheme="majorBidi" w:cstheme="majorBidi"/>
          <w:color w:val="000000"/>
          <w:sz w:val="28"/>
          <w:szCs w:val="28"/>
        </w:rPr>
        <w:t xml:space="preserve">. </w:t>
      </w:r>
    </w:p>
    <w:p w14:paraId="5C5AE4AD" w14:textId="77777777" w:rsidR="00C03CB5" w:rsidRDefault="00C03CB5" w:rsidP="001E2E25">
      <w:pPr>
        <w:spacing w:before="240" w:after="240"/>
        <w:ind w:firstLine="630"/>
        <w:rPr>
          <w:rFonts w:asciiTheme="majorBidi" w:hAnsiTheme="majorBidi" w:cstheme="majorBidi"/>
          <w:color w:val="000000"/>
          <w:sz w:val="28"/>
          <w:szCs w:val="28"/>
        </w:rPr>
      </w:pPr>
      <w:r w:rsidRPr="00BD2DAA">
        <w:rPr>
          <w:rFonts w:asciiTheme="majorBidi" w:hAnsiTheme="majorBidi" w:cstheme="majorBidi"/>
          <w:color w:val="000000"/>
          <w:sz w:val="28"/>
          <w:szCs w:val="28"/>
        </w:rPr>
        <w:t>Meanwhile, some miRNAs were reported to be downregulated in</w:t>
      </w:r>
      <w:r w:rsidRPr="00BD2DAA">
        <w:rPr>
          <w:rFonts w:asciiTheme="majorBidi" w:hAnsiTheme="majorBidi" w:cstheme="majorBidi"/>
          <w:color w:val="000000"/>
          <w:sz w:val="28"/>
          <w:szCs w:val="28"/>
        </w:rPr>
        <w:br/>
        <w:t>cancer tissues and might function as tumor suppressors. miR-200 family</w:t>
      </w:r>
      <w:r w:rsidRPr="00BD2DAA">
        <w:rPr>
          <w:rFonts w:asciiTheme="majorBidi" w:hAnsiTheme="majorBidi" w:cstheme="majorBidi"/>
          <w:color w:val="000000"/>
          <w:sz w:val="28"/>
          <w:szCs w:val="28"/>
        </w:rPr>
        <w:br/>
        <w:t>members were lower in urine sediment of bladder cancer patients and</w:t>
      </w:r>
      <w:r w:rsidRPr="00BD2DAA">
        <w:rPr>
          <w:rFonts w:asciiTheme="majorBidi" w:hAnsiTheme="majorBidi" w:cstheme="majorBidi"/>
          <w:color w:val="000000"/>
          <w:sz w:val="28"/>
          <w:szCs w:val="28"/>
        </w:rPr>
        <w:br/>
        <w:t>increased significantly following surgery which suggested this</w:t>
      </w:r>
      <w:r w:rsidRPr="00BD2DAA">
        <w:rPr>
          <w:rFonts w:asciiTheme="majorBidi" w:hAnsiTheme="majorBidi" w:cstheme="majorBidi"/>
          <w:color w:val="000000"/>
          <w:sz w:val="28"/>
          <w:szCs w:val="28"/>
        </w:rPr>
        <w:br/>
        <w:t>microRNA family could be used as diagnostic and prognostic markers of</w:t>
      </w:r>
      <w:r w:rsidRPr="00BD2DAA">
        <w:rPr>
          <w:rFonts w:asciiTheme="majorBidi" w:hAnsiTheme="majorBidi" w:cstheme="majorBidi"/>
          <w:color w:val="000000"/>
          <w:sz w:val="28"/>
          <w:szCs w:val="28"/>
        </w:rPr>
        <w:br/>
        <w:t xml:space="preserve">bladder cancer </w:t>
      </w:r>
      <w:r w:rsidRPr="00BD2DAA">
        <w:rPr>
          <w:rFonts w:asciiTheme="majorBidi" w:hAnsiTheme="majorBidi" w:cstheme="majorBidi"/>
          <w:b/>
          <w:bCs/>
          <w:i/>
          <w:iCs/>
          <w:color w:val="000000"/>
          <w:sz w:val="28"/>
          <w:szCs w:val="28"/>
        </w:rPr>
        <w:t>(Wang et al., 2012)</w:t>
      </w:r>
      <w:r w:rsidRPr="00BD2DAA">
        <w:rPr>
          <w:rFonts w:asciiTheme="majorBidi" w:hAnsiTheme="majorBidi" w:cstheme="majorBidi"/>
          <w:color w:val="000000"/>
          <w:sz w:val="28"/>
          <w:szCs w:val="28"/>
        </w:rPr>
        <w:t>. These aberrant expression miRNAs</w:t>
      </w:r>
      <w:r w:rsidRPr="00BD2DAA">
        <w:rPr>
          <w:rFonts w:asciiTheme="majorBidi" w:hAnsiTheme="majorBidi" w:cstheme="majorBidi"/>
          <w:color w:val="000000"/>
          <w:sz w:val="28"/>
          <w:szCs w:val="28"/>
        </w:rPr>
        <w:br/>
        <w:t>in bladder cancer are attractive as potential biomarkers and new targets</w:t>
      </w:r>
      <w:r w:rsidRPr="00BD2DAA">
        <w:rPr>
          <w:rFonts w:asciiTheme="majorBidi" w:hAnsiTheme="majorBidi" w:cstheme="majorBidi"/>
          <w:color w:val="000000"/>
          <w:sz w:val="28"/>
          <w:szCs w:val="28"/>
        </w:rPr>
        <w:br/>
        <w:t xml:space="preserve">for bladder cancer therapy </w:t>
      </w:r>
      <w:r w:rsidRPr="00BD2DAA">
        <w:rPr>
          <w:rFonts w:asciiTheme="majorBidi" w:hAnsiTheme="majorBidi" w:cstheme="majorBidi"/>
          <w:b/>
          <w:bCs/>
          <w:i/>
          <w:iCs/>
          <w:color w:val="000000"/>
          <w:sz w:val="28"/>
          <w:szCs w:val="28"/>
        </w:rPr>
        <w:t>(Feng et al., 2014)</w:t>
      </w:r>
      <w:r>
        <w:rPr>
          <w:rFonts w:asciiTheme="majorBidi" w:hAnsiTheme="majorBidi" w:cstheme="majorBidi"/>
          <w:color w:val="000000"/>
          <w:sz w:val="28"/>
          <w:szCs w:val="28"/>
        </w:rPr>
        <w:t>.</w:t>
      </w:r>
    </w:p>
    <w:p w14:paraId="2603B5BD" w14:textId="0D2EC851" w:rsidR="00C03CB5" w:rsidRDefault="001E2E25" w:rsidP="0034023C">
      <w:pPr>
        <w:spacing w:before="240" w:after="240"/>
        <w:ind w:firstLine="90"/>
        <w:rPr>
          <w:rFonts w:asciiTheme="majorBidi" w:hAnsiTheme="majorBidi" w:cstheme="majorBidi"/>
          <w:color w:val="000000"/>
          <w:sz w:val="28"/>
          <w:szCs w:val="28"/>
        </w:rPr>
      </w:pPr>
      <w:r>
        <w:rPr>
          <w:rFonts w:asciiTheme="majorBidi" w:hAnsiTheme="majorBidi" w:cstheme="majorBidi"/>
          <w:b/>
          <w:bCs/>
          <w:i/>
          <w:iCs/>
          <w:color w:val="000000"/>
          <w:sz w:val="28"/>
          <w:szCs w:val="28"/>
          <w:u w:val="single"/>
        </w:rPr>
        <w:t>E</w:t>
      </w:r>
      <w:r w:rsidR="00C03CB5" w:rsidRPr="0034023C">
        <w:rPr>
          <w:rFonts w:asciiTheme="majorBidi" w:hAnsiTheme="majorBidi" w:cstheme="majorBidi"/>
          <w:b/>
          <w:bCs/>
          <w:i/>
          <w:iCs/>
          <w:color w:val="000000"/>
          <w:sz w:val="28"/>
          <w:szCs w:val="28"/>
          <w:u w:val="single"/>
        </w:rPr>
        <w:t>. Metastatic work-up</w:t>
      </w:r>
      <w:r w:rsidR="0034023C">
        <w:rPr>
          <w:rFonts w:asciiTheme="majorBidi" w:hAnsiTheme="majorBidi" w:cstheme="majorBidi"/>
          <w:b/>
          <w:bCs/>
          <w:i/>
          <w:iCs/>
          <w:color w:val="000000"/>
          <w:sz w:val="28"/>
          <w:szCs w:val="28"/>
          <w:u w:val="single"/>
        </w:rPr>
        <w:t>:</w:t>
      </w:r>
      <w:r w:rsidR="0034023C">
        <w:rPr>
          <w:rFonts w:asciiTheme="majorBidi" w:hAnsiTheme="majorBidi" w:cstheme="majorBidi"/>
          <w:b/>
          <w:bCs/>
          <w:i/>
          <w:iCs/>
          <w:color w:val="000000"/>
          <w:sz w:val="28"/>
          <w:szCs w:val="28"/>
        </w:rPr>
        <w:t xml:space="preserve"> </w:t>
      </w:r>
      <w:r w:rsidR="00C03CB5" w:rsidRPr="00BD2DAA">
        <w:rPr>
          <w:rFonts w:asciiTheme="majorBidi" w:hAnsiTheme="majorBidi" w:cstheme="majorBidi"/>
          <w:color w:val="000000"/>
          <w:sz w:val="28"/>
          <w:szCs w:val="28"/>
        </w:rPr>
        <w:t>For invasive bladder tumors, metas</w:t>
      </w:r>
      <w:r w:rsidR="00C03CB5">
        <w:rPr>
          <w:rFonts w:asciiTheme="majorBidi" w:hAnsiTheme="majorBidi" w:cstheme="majorBidi"/>
          <w:color w:val="000000"/>
          <w:sz w:val="28"/>
          <w:szCs w:val="28"/>
        </w:rPr>
        <w:t xml:space="preserve">tatic evaluation should include </w:t>
      </w:r>
      <w:r w:rsidR="00C03CB5" w:rsidRPr="00BD2DAA">
        <w:rPr>
          <w:rFonts w:asciiTheme="majorBidi" w:hAnsiTheme="majorBidi" w:cstheme="majorBidi"/>
          <w:color w:val="000000"/>
          <w:sz w:val="28"/>
          <w:szCs w:val="28"/>
        </w:rPr>
        <w:t>chest radiography, liver function tests, and alkaline phosphatase</w:t>
      </w:r>
      <w:r w:rsidR="00B566E2">
        <w:rPr>
          <w:rFonts w:asciiTheme="majorBidi" w:hAnsiTheme="majorBidi" w:cstheme="majorBidi"/>
          <w:color w:val="000000"/>
          <w:sz w:val="28"/>
          <w:szCs w:val="28"/>
        </w:rPr>
        <w:t>.</w:t>
      </w:r>
      <w:r w:rsidR="00C03CB5" w:rsidRPr="00BD2DAA">
        <w:rPr>
          <w:rFonts w:asciiTheme="majorBidi" w:hAnsiTheme="majorBidi" w:cstheme="majorBidi"/>
          <w:color w:val="000000"/>
          <w:sz w:val="28"/>
          <w:szCs w:val="28"/>
        </w:rPr>
        <w:t xml:space="preserve"> Abdominal and pelvic imaging (MRI or CT) is not accurate </w:t>
      </w:r>
      <w:r w:rsidR="00C03CB5">
        <w:rPr>
          <w:rFonts w:asciiTheme="majorBidi" w:hAnsiTheme="majorBidi" w:cstheme="majorBidi"/>
          <w:color w:val="000000"/>
          <w:sz w:val="28"/>
          <w:szCs w:val="28"/>
        </w:rPr>
        <w:t xml:space="preserve">for </w:t>
      </w:r>
      <w:r w:rsidR="00C03CB5" w:rsidRPr="00BD2DAA">
        <w:rPr>
          <w:rFonts w:asciiTheme="majorBidi" w:hAnsiTheme="majorBidi" w:cstheme="majorBidi"/>
          <w:color w:val="000000"/>
          <w:sz w:val="28"/>
          <w:szCs w:val="28"/>
        </w:rPr>
        <w:t>staging of the primary bladder tumor bu</w:t>
      </w:r>
      <w:r w:rsidR="00C03CB5">
        <w:rPr>
          <w:rFonts w:asciiTheme="majorBidi" w:hAnsiTheme="majorBidi" w:cstheme="majorBidi"/>
          <w:color w:val="000000"/>
          <w:sz w:val="28"/>
          <w:szCs w:val="28"/>
        </w:rPr>
        <w:t xml:space="preserve">t may be useful when metastatic </w:t>
      </w:r>
      <w:r w:rsidR="00C03CB5" w:rsidRPr="00BD2DAA">
        <w:rPr>
          <w:rFonts w:asciiTheme="majorBidi" w:hAnsiTheme="majorBidi" w:cstheme="majorBidi"/>
          <w:color w:val="000000"/>
          <w:sz w:val="28"/>
          <w:szCs w:val="28"/>
        </w:rPr>
        <w:t>disease is suspected</w:t>
      </w:r>
      <w:r w:rsidR="00B566E2">
        <w:rPr>
          <w:rFonts w:asciiTheme="majorBidi" w:hAnsiTheme="majorBidi" w:cstheme="majorBidi"/>
          <w:color w:val="000000"/>
          <w:sz w:val="28"/>
          <w:szCs w:val="28"/>
        </w:rPr>
        <w:t xml:space="preserve">. </w:t>
      </w:r>
      <w:r w:rsidR="00C03CB5" w:rsidRPr="00BD2DAA">
        <w:rPr>
          <w:rFonts w:asciiTheme="majorBidi" w:hAnsiTheme="majorBidi" w:cstheme="majorBidi"/>
          <w:color w:val="000000"/>
          <w:sz w:val="28"/>
          <w:szCs w:val="28"/>
        </w:rPr>
        <w:t>A bone scan is unnecessary in all cases</w:t>
      </w:r>
      <w:r w:rsidR="00C03CB5">
        <w:rPr>
          <w:rFonts w:asciiTheme="majorBidi" w:hAnsiTheme="majorBidi" w:cstheme="majorBidi"/>
          <w:color w:val="000000"/>
          <w:sz w:val="28"/>
          <w:szCs w:val="28"/>
        </w:rPr>
        <w:t xml:space="preserve">, but it should be performed in </w:t>
      </w:r>
      <w:r w:rsidR="00C03CB5" w:rsidRPr="00BD2DAA">
        <w:rPr>
          <w:rFonts w:asciiTheme="majorBidi" w:hAnsiTheme="majorBidi" w:cstheme="majorBidi"/>
          <w:color w:val="000000"/>
          <w:sz w:val="28"/>
          <w:szCs w:val="28"/>
        </w:rPr>
        <w:t xml:space="preserve">the presence of bone pain or elevated alkaline phosphatase </w:t>
      </w:r>
      <w:r w:rsidR="00C03CB5" w:rsidRPr="00BD2DAA">
        <w:rPr>
          <w:rFonts w:asciiTheme="majorBidi" w:hAnsiTheme="majorBidi" w:cstheme="majorBidi"/>
          <w:b/>
          <w:bCs/>
          <w:i/>
          <w:iCs/>
          <w:color w:val="000000"/>
          <w:sz w:val="28"/>
          <w:szCs w:val="28"/>
        </w:rPr>
        <w:t>(Kirkali et al.,</w:t>
      </w:r>
      <w:r w:rsidR="00C03CB5">
        <w:rPr>
          <w:rFonts w:asciiTheme="majorBidi" w:hAnsiTheme="majorBidi" w:cstheme="majorBidi"/>
          <w:color w:val="000000"/>
          <w:sz w:val="28"/>
          <w:szCs w:val="28"/>
        </w:rPr>
        <w:t xml:space="preserve"> </w:t>
      </w:r>
      <w:r w:rsidR="00C03CB5" w:rsidRPr="00BD2DAA">
        <w:rPr>
          <w:rFonts w:asciiTheme="majorBidi" w:hAnsiTheme="majorBidi" w:cstheme="majorBidi"/>
          <w:b/>
          <w:bCs/>
          <w:i/>
          <w:iCs/>
          <w:color w:val="000000"/>
          <w:sz w:val="28"/>
          <w:szCs w:val="28"/>
        </w:rPr>
        <w:t>2005</w:t>
      </w:r>
      <w:r w:rsidR="00C03CB5">
        <w:rPr>
          <w:rFonts w:asciiTheme="majorBidi" w:hAnsiTheme="majorBidi" w:cstheme="majorBidi"/>
          <w:color w:val="000000"/>
          <w:sz w:val="28"/>
          <w:szCs w:val="28"/>
        </w:rPr>
        <w:t>).</w:t>
      </w:r>
    </w:p>
    <w:p w14:paraId="32784398" w14:textId="21C4A986" w:rsidR="00C03CB5" w:rsidRPr="00FA503B" w:rsidRDefault="00C03CB5" w:rsidP="00FA503B">
      <w:pPr>
        <w:pStyle w:val="ListParagraph"/>
        <w:spacing w:before="240" w:after="240" w:line="360" w:lineRule="auto"/>
        <w:ind w:left="0" w:firstLine="720"/>
        <w:jc w:val="both"/>
        <w:rPr>
          <w:rFonts w:asciiTheme="majorBidi" w:hAnsiTheme="majorBidi" w:cstheme="majorBidi"/>
          <w:color w:val="000000"/>
          <w:sz w:val="28"/>
          <w:szCs w:val="32"/>
        </w:rPr>
      </w:pPr>
      <w:r>
        <w:rPr>
          <w:rFonts w:asciiTheme="majorBidi" w:hAnsiTheme="majorBidi" w:cstheme="majorBidi"/>
          <w:color w:val="000000"/>
          <w:sz w:val="28"/>
          <w:szCs w:val="28"/>
        </w:rPr>
        <w:t>Briefly,</w:t>
      </w:r>
      <w:r w:rsidRPr="000A28B3">
        <w:rPr>
          <w:rFonts w:asciiTheme="majorBidi" w:hAnsiTheme="majorBidi" w:cstheme="majorBidi"/>
          <w:color w:val="000000"/>
          <w:sz w:val="28"/>
          <w:szCs w:val="32"/>
        </w:rPr>
        <w:t xml:space="preserve"> </w:t>
      </w:r>
      <w:r w:rsidRPr="00BD2DAA">
        <w:rPr>
          <w:rFonts w:asciiTheme="majorBidi" w:hAnsiTheme="majorBidi" w:cstheme="majorBidi"/>
          <w:color w:val="000000"/>
          <w:sz w:val="28"/>
          <w:szCs w:val="32"/>
        </w:rPr>
        <w:t xml:space="preserve">the diagnostic work-up includes, but is not limited to, physical examination, </w:t>
      </w:r>
      <w:proofErr w:type="gramStart"/>
      <w:r w:rsidRPr="00BD2DAA">
        <w:rPr>
          <w:rFonts w:asciiTheme="majorBidi" w:hAnsiTheme="majorBidi" w:cstheme="majorBidi"/>
          <w:color w:val="000000"/>
          <w:sz w:val="28"/>
          <w:szCs w:val="32"/>
        </w:rPr>
        <w:t>imaging</w:t>
      </w:r>
      <w:proofErr w:type="gramEnd"/>
      <w:r w:rsidRPr="00BD2DAA">
        <w:rPr>
          <w:rFonts w:asciiTheme="majorBidi" w:hAnsiTheme="majorBidi" w:cstheme="majorBidi"/>
          <w:color w:val="000000"/>
          <w:sz w:val="28"/>
          <w:szCs w:val="32"/>
        </w:rPr>
        <w:t xml:space="preserve"> and transurethral resection of the bladder tumor (TURBT) with subsequent histological evaluation. In patients with confirmed </w:t>
      </w:r>
      <w:r w:rsidRPr="00BD2DAA">
        <w:rPr>
          <w:rFonts w:asciiTheme="majorBidi" w:hAnsiTheme="majorBidi" w:cstheme="majorBidi"/>
          <w:color w:val="000000"/>
          <w:sz w:val="28"/>
          <w:szCs w:val="32"/>
        </w:rPr>
        <w:lastRenderedPageBreak/>
        <w:t xml:space="preserve">MIBC, Computer tomography (CT) of the chest, abdomen and pelvis is currently used for staging </w:t>
      </w:r>
      <w:r w:rsidRPr="00BD2DAA">
        <w:rPr>
          <w:rFonts w:asciiTheme="majorBidi" w:hAnsiTheme="majorBidi" w:cstheme="majorBidi"/>
          <w:b/>
          <w:bCs/>
          <w:i/>
          <w:iCs/>
          <w:color w:val="000000"/>
          <w:sz w:val="28"/>
          <w:szCs w:val="32"/>
        </w:rPr>
        <w:t>(Bray et al., 2018)</w:t>
      </w:r>
      <w:r w:rsidRPr="00BD2DAA">
        <w:rPr>
          <w:rFonts w:asciiTheme="majorBidi" w:hAnsiTheme="majorBidi" w:cstheme="majorBidi"/>
          <w:color w:val="000000"/>
          <w:sz w:val="28"/>
          <w:szCs w:val="32"/>
        </w:rPr>
        <w:t>.</w:t>
      </w:r>
    </w:p>
    <w:p w14:paraId="4AC5DA63" w14:textId="77777777" w:rsidR="001E2E25" w:rsidRPr="001E2E25" w:rsidRDefault="001E2E25" w:rsidP="001E2E25">
      <w:pPr>
        <w:spacing w:before="240" w:after="240"/>
        <w:ind w:firstLine="0"/>
        <w:rPr>
          <w:rFonts w:asciiTheme="majorBidi" w:eastAsia="Calibri" w:hAnsiTheme="majorBidi" w:cstheme="majorBidi"/>
          <w:b/>
          <w:bCs/>
          <w:sz w:val="36"/>
          <w:szCs w:val="36"/>
          <w:u w:val="single"/>
        </w:rPr>
      </w:pPr>
      <w:r w:rsidRPr="001E2E25">
        <w:rPr>
          <w:rFonts w:asciiTheme="majorBidi" w:eastAsia="Calibri" w:hAnsiTheme="majorBidi" w:cstheme="majorBidi"/>
          <w:b/>
          <w:bCs/>
          <w:sz w:val="36"/>
          <w:szCs w:val="36"/>
          <w:u w:val="single"/>
        </w:rPr>
        <w:t>Treatment of bladder cancer:</w:t>
      </w:r>
    </w:p>
    <w:p w14:paraId="2357DC56" w14:textId="77777777" w:rsidR="001E2E25" w:rsidRPr="00BD2DAA" w:rsidRDefault="001E2E25" w:rsidP="001E2E25">
      <w:pPr>
        <w:spacing w:before="240" w:after="240"/>
        <w:rPr>
          <w:rFonts w:asciiTheme="majorBidi" w:hAnsiTheme="majorBidi" w:cstheme="majorBidi"/>
          <w:color w:val="000000"/>
          <w:sz w:val="28"/>
          <w:szCs w:val="28"/>
        </w:rPr>
      </w:pPr>
      <w:r w:rsidRPr="00BD2DAA">
        <w:rPr>
          <w:rFonts w:asciiTheme="majorBidi" w:hAnsiTheme="majorBidi" w:cstheme="majorBidi"/>
          <w:color w:val="000000"/>
          <w:sz w:val="28"/>
          <w:szCs w:val="28"/>
        </w:rPr>
        <w:t xml:space="preserve">Because of the unpredictable disease course, high recurrence rate, and risk of progression, patients with bladder cancer require continuous, costly, follow-up monitoring which poses a burden both to the patient and the healthcare system. This makes bladder cancer one of the most expensive malignancies per patient </w:t>
      </w:r>
      <w:r w:rsidRPr="00BD2DAA">
        <w:rPr>
          <w:rFonts w:asciiTheme="majorBidi" w:hAnsiTheme="majorBidi" w:cstheme="majorBidi"/>
          <w:b/>
          <w:bCs/>
          <w:i/>
          <w:iCs/>
          <w:color w:val="000000"/>
          <w:sz w:val="28"/>
          <w:szCs w:val="28"/>
        </w:rPr>
        <w:t>(Yeung et al., 2014</w:t>
      </w:r>
      <w:r w:rsidRPr="00BD2DAA">
        <w:rPr>
          <w:rFonts w:asciiTheme="majorBidi" w:hAnsiTheme="majorBidi" w:cstheme="majorBidi"/>
          <w:color w:val="000000"/>
          <w:sz w:val="28"/>
          <w:szCs w:val="28"/>
        </w:rPr>
        <w:t>).</w:t>
      </w:r>
    </w:p>
    <w:p w14:paraId="7CAC96F2" w14:textId="77777777" w:rsidR="001E2E25" w:rsidRPr="00BD2DAA" w:rsidRDefault="001E2E25" w:rsidP="001E2E25">
      <w:pPr>
        <w:spacing w:before="240" w:after="240"/>
        <w:rPr>
          <w:rFonts w:asciiTheme="majorBidi" w:hAnsiTheme="majorBidi" w:cstheme="majorBidi"/>
          <w:color w:val="000000"/>
          <w:sz w:val="28"/>
          <w:szCs w:val="28"/>
        </w:rPr>
      </w:pPr>
      <w:r w:rsidRPr="00BD2DAA">
        <w:rPr>
          <w:rFonts w:asciiTheme="majorBidi" w:hAnsiTheme="majorBidi" w:cstheme="majorBidi"/>
          <w:color w:val="000000"/>
          <w:sz w:val="28"/>
          <w:szCs w:val="28"/>
        </w:rPr>
        <w:t xml:space="preserve">The tumor stage is closely related to patient outcome and is the crucial factor for treatment selection. For patients with stage Ta, Tis, and T1 tumors the preferred treatment choice is local resection of the tumor, </w:t>
      </w:r>
      <w:proofErr w:type="gramStart"/>
      <w:r w:rsidRPr="00BD2DAA">
        <w:rPr>
          <w:rFonts w:asciiTheme="majorBidi" w:hAnsiTheme="majorBidi" w:cstheme="majorBidi"/>
          <w:color w:val="000000"/>
          <w:sz w:val="28"/>
          <w:szCs w:val="28"/>
        </w:rPr>
        <w:t>paired most commonly</w:t>
      </w:r>
      <w:proofErr w:type="gramEnd"/>
      <w:r w:rsidRPr="00BD2DAA">
        <w:rPr>
          <w:rFonts w:asciiTheme="majorBidi" w:hAnsiTheme="majorBidi" w:cstheme="majorBidi"/>
          <w:color w:val="000000"/>
          <w:sz w:val="28"/>
          <w:szCs w:val="28"/>
        </w:rPr>
        <w:t xml:space="preserve"> with intravesical immunotherapy in the form of </w:t>
      </w:r>
      <w:bookmarkStart w:id="37" w:name="_Hlk71753534"/>
      <w:r w:rsidRPr="00BD2DAA">
        <w:rPr>
          <w:rFonts w:asciiTheme="majorBidi" w:hAnsiTheme="majorBidi" w:cstheme="majorBidi"/>
          <w:color w:val="000000"/>
          <w:sz w:val="28"/>
          <w:szCs w:val="28"/>
        </w:rPr>
        <w:t>Bacillus Calmette-Guerin (BCG</w:t>
      </w:r>
      <w:bookmarkEnd w:id="37"/>
      <w:r w:rsidRPr="00BD2DAA">
        <w:rPr>
          <w:rFonts w:asciiTheme="majorBidi" w:hAnsiTheme="majorBidi" w:cstheme="majorBidi"/>
          <w:color w:val="000000"/>
          <w:sz w:val="28"/>
          <w:szCs w:val="28"/>
        </w:rPr>
        <w:t xml:space="preserve">) instillations or intravesical cytostatic chemotherapy using mitomycin C, a DNA crosslinking drug, or DNA intercalating agents such as epirubicin or pirarubicin </w:t>
      </w:r>
      <w:r w:rsidRPr="00BD2DAA">
        <w:rPr>
          <w:rFonts w:asciiTheme="majorBidi" w:hAnsiTheme="majorBidi" w:cstheme="majorBidi"/>
          <w:b/>
          <w:bCs/>
          <w:i/>
          <w:iCs/>
          <w:color w:val="000000"/>
          <w:sz w:val="28"/>
          <w:szCs w:val="28"/>
        </w:rPr>
        <w:t>(Svatek et al., 2014</w:t>
      </w:r>
      <w:r w:rsidRPr="00BD2DAA">
        <w:rPr>
          <w:rFonts w:asciiTheme="majorBidi" w:hAnsiTheme="majorBidi" w:cstheme="majorBidi"/>
          <w:color w:val="000000"/>
          <w:sz w:val="28"/>
          <w:szCs w:val="28"/>
        </w:rPr>
        <w:t xml:space="preserve">). Intavesical therapy is particularly well suited for NMI bladder cancers because of their superficial confinement as well as the anatomical properties of the </w:t>
      </w:r>
      <w:proofErr w:type="gramStart"/>
      <w:r w:rsidRPr="00BD2DAA">
        <w:rPr>
          <w:rFonts w:asciiTheme="majorBidi" w:hAnsiTheme="majorBidi" w:cstheme="majorBidi"/>
          <w:color w:val="000000"/>
          <w:sz w:val="28"/>
          <w:szCs w:val="28"/>
        </w:rPr>
        <w:t>bladder, and</w:t>
      </w:r>
      <w:proofErr w:type="gramEnd"/>
      <w:r w:rsidRPr="00BD2DAA">
        <w:rPr>
          <w:rFonts w:asciiTheme="majorBidi" w:hAnsiTheme="majorBidi" w:cstheme="majorBidi"/>
          <w:color w:val="000000"/>
          <w:sz w:val="28"/>
          <w:szCs w:val="28"/>
        </w:rPr>
        <w:t xml:space="preserve"> aims to reduce the risk of recurrence and progression </w:t>
      </w:r>
      <w:r w:rsidRPr="00BD2DAA">
        <w:rPr>
          <w:rFonts w:asciiTheme="majorBidi" w:hAnsiTheme="majorBidi" w:cstheme="majorBidi"/>
          <w:b/>
          <w:bCs/>
          <w:i/>
          <w:iCs/>
          <w:color w:val="000000"/>
          <w:sz w:val="28"/>
          <w:szCs w:val="28"/>
        </w:rPr>
        <w:t>(Svatek et al., 2014</w:t>
      </w:r>
      <w:r w:rsidRPr="00BD2DAA">
        <w:rPr>
          <w:rFonts w:asciiTheme="majorBidi" w:hAnsiTheme="majorBidi" w:cstheme="majorBidi"/>
          <w:color w:val="000000"/>
          <w:sz w:val="28"/>
          <w:szCs w:val="28"/>
        </w:rPr>
        <w:t xml:space="preserve">). Chemotherapy has been shown to significantly reduce the rate of </w:t>
      </w:r>
      <w:proofErr w:type="gramStart"/>
      <w:r w:rsidRPr="00BD2DAA">
        <w:rPr>
          <w:rFonts w:asciiTheme="majorBidi" w:hAnsiTheme="majorBidi" w:cstheme="majorBidi"/>
          <w:color w:val="000000"/>
          <w:sz w:val="28"/>
          <w:szCs w:val="28"/>
        </w:rPr>
        <w:t>recurrences, but</w:t>
      </w:r>
      <w:proofErr w:type="gramEnd"/>
      <w:r w:rsidRPr="00BD2DAA">
        <w:rPr>
          <w:rFonts w:asciiTheme="majorBidi" w:hAnsiTheme="majorBidi" w:cstheme="majorBidi"/>
          <w:color w:val="000000"/>
          <w:sz w:val="28"/>
          <w:szCs w:val="28"/>
        </w:rPr>
        <w:t xml:space="preserve"> shows little effect on the rate of progression </w:t>
      </w:r>
      <w:r w:rsidRPr="00BD2DAA">
        <w:rPr>
          <w:rFonts w:asciiTheme="majorBidi" w:hAnsiTheme="majorBidi" w:cstheme="majorBidi"/>
          <w:b/>
          <w:bCs/>
          <w:i/>
          <w:iCs/>
          <w:color w:val="000000"/>
          <w:sz w:val="28"/>
          <w:szCs w:val="28"/>
        </w:rPr>
        <w:t>(Sylvester et al., 2016</w:t>
      </w:r>
      <w:r w:rsidRPr="00BD2DAA">
        <w:rPr>
          <w:rFonts w:asciiTheme="majorBidi" w:hAnsiTheme="majorBidi" w:cstheme="majorBidi"/>
          <w:color w:val="000000"/>
          <w:sz w:val="28"/>
          <w:szCs w:val="28"/>
        </w:rPr>
        <w:t xml:space="preserve">). </w:t>
      </w:r>
    </w:p>
    <w:p w14:paraId="0427BB9A" w14:textId="77777777" w:rsidR="001E2E25" w:rsidRDefault="001E2E25" w:rsidP="001E2E25">
      <w:pPr>
        <w:spacing w:before="240" w:after="240"/>
        <w:rPr>
          <w:rFonts w:asciiTheme="majorBidi" w:hAnsiTheme="majorBidi" w:cstheme="majorBidi"/>
          <w:color w:val="000000"/>
          <w:sz w:val="28"/>
          <w:szCs w:val="28"/>
        </w:rPr>
      </w:pPr>
      <w:r w:rsidRPr="00BD2DAA">
        <w:rPr>
          <w:rFonts w:asciiTheme="majorBidi" w:hAnsiTheme="majorBidi" w:cstheme="majorBidi"/>
          <w:color w:val="000000"/>
          <w:sz w:val="28"/>
          <w:szCs w:val="28"/>
        </w:rPr>
        <w:t xml:space="preserve">BCG was developed as a live attenuated vaccine against tuberculosis in the beginning of the 20th century. In the 1930s it was noted that tuberculosis patients had a lower cancer incidence </w:t>
      </w:r>
      <w:r w:rsidRPr="00BD2DAA">
        <w:rPr>
          <w:rFonts w:asciiTheme="majorBidi" w:hAnsiTheme="majorBidi" w:cstheme="majorBidi"/>
          <w:b/>
          <w:bCs/>
          <w:i/>
          <w:iCs/>
          <w:color w:val="000000"/>
          <w:sz w:val="28"/>
          <w:szCs w:val="28"/>
        </w:rPr>
        <w:t>(Pearl, 1929</w:t>
      </w:r>
      <w:r w:rsidRPr="00BD2DAA">
        <w:rPr>
          <w:rFonts w:asciiTheme="majorBidi" w:hAnsiTheme="majorBidi" w:cstheme="majorBidi"/>
          <w:color w:val="000000"/>
          <w:sz w:val="28"/>
          <w:szCs w:val="28"/>
        </w:rPr>
        <w:t xml:space="preserve">), and BCG was proposed as a potential cancer therapy. The first use of BCG for the treatment of bladder cancer was reported in 1976 </w:t>
      </w:r>
      <w:r w:rsidRPr="00BD2DAA">
        <w:rPr>
          <w:rFonts w:asciiTheme="majorBidi" w:hAnsiTheme="majorBidi" w:cstheme="majorBidi"/>
          <w:b/>
          <w:bCs/>
          <w:i/>
          <w:iCs/>
          <w:color w:val="000000"/>
          <w:sz w:val="28"/>
          <w:szCs w:val="28"/>
        </w:rPr>
        <w:t>(Morales et al., 1976)</w:t>
      </w:r>
      <w:r w:rsidRPr="00BD2DAA">
        <w:rPr>
          <w:rFonts w:asciiTheme="majorBidi" w:hAnsiTheme="majorBidi" w:cstheme="majorBidi"/>
          <w:color w:val="000000"/>
          <w:sz w:val="28"/>
          <w:szCs w:val="28"/>
        </w:rPr>
        <w:t xml:space="preserve">. </w:t>
      </w:r>
    </w:p>
    <w:p w14:paraId="0354B5D3" w14:textId="77777777" w:rsidR="001E2E25" w:rsidRDefault="001E2E25" w:rsidP="00C67EB7">
      <w:pPr>
        <w:spacing w:before="240" w:after="240"/>
        <w:rPr>
          <w:rFonts w:asciiTheme="majorBidi" w:hAnsiTheme="majorBidi" w:cstheme="majorBidi"/>
          <w:color w:val="000000"/>
          <w:sz w:val="28"/>
          <w:szCs w:val="28"/>
        </w:rPr>
      </w:pPr>
      <w:r w:rsidRPr="00BD2DAA">
        <w:rPr>
          <w:rFonts w:asciiTheme="majorBidi" w:hAnsiTheme="majorBidi" w:cstheme="majorBidi"/>
          <w:color w:val="000000"/>
          <w:sz w:val="28"/>
          <w:szCs w:val="28"/>
        </w:rPr>
        <w:lastRenderedPageBreak/>
        <w:t xml:space="preserve">Intravesical chemotherapy and BCG both significantly reduces the rate of tumor recurrences, but the reduction is greater with the use of BCG. BCG also has the advantage of reducing the rate of disease </w:t>
      </w:r>
      <w:proofErr w:type="gramStart"/>
      <w:r w:rsidRPr="00BD2DAA">
        <w:rPr>
          <w:rFonts w:asciiTheme="majorBidi" w:hAnsiTheme="majorBidi" w:cstheme="majorBidi"/>
          <w:color w:val="000000"/>
          <w:sz w:val="28"/>
          <w:szCs w:val="28"/>
        </w:rPr>
        <w:t>progression, and</w:t>
      </w:r>
      <w:proofErr w:type="gramEnd"/>
      <w:r w:rsidRPr="00BD2DAA">
        <w:rPr>
          <w:rFonts w:asciiTheme="majorBidi" w:hAnsiTheme="majorBidi" w:cstheme="majorBidi"/>
          <w:color w:val="000000"/>
          <w:sz w:val="28"/>
          <w:szCs w:val="28"/>
        </w:rPr>
        <w:t xml:space="preserve"> is considered the superior treatment of choice both for high and intermediate risk NMI bladder cancer </w:t>
      </w:r>
      <w:r w:rsidRPr="00BD2DAA">
        <w:rPr>
          <w:rFonts w:asciiTheme="majorBidi" w:hAnsiTheme="majorBidi" w:cstheme="majorBidi"/>
          <w:b/>
          <w:bCs/>
          <w:i/>
          <w:iCs/>
          <w:color w:val="000000"/>
          <w:sz w:val="28"/>
          <w:szCs w:val="28"/>
        </w:rPr>
        <w:t>(Spencer et al., 201</w:t>
      </w:r>
      <w:r w:rsidR="00C67EB7">
        <w:rPr>
          <w:rFonts w:asciiTheme="majorBidi" w:hAnsiTheme="majorBidi" w:cstheme="majorBidi"/>
          <w:b/>
          <w:bCs/>
          <w:i/>
          <w:iCs/>
          <w:color w:val="000000"/>
          <w:sz w:val="28"/>
          <w:szCs w:val="28"/>
        </w:rPr>
        <w:t>3</w:t>
      </w:r>
      <w:r w:rsidRPr="00BD2DAA">
        <w:rPr>
          <w:rFonts w:asciiTheme="majorBidi" w:hAnsiTheme="majorBidi" w:cstheme="majorBidi"/>
          <w:b/>
          <w:bCs/>
          <w:i/>
          <w:iCs/>
          <w:color w:val="000000"/>
          <w:sz w:val="28"/>
          <w:szCs w:val="28"/>
        </w:rPr>
        <w:t>)</w:t>
      </w:r>
      <w:r w:rsidRPr="00BD2DAA">
        <w:rPr>
          <w:rFonts w:asciiTheme="majorBidi" w:hAnsiTheme="majorBidi" w:cstheme="majorBidi"/>
          <w:color w:val="000000"/>
          <w:sz w:val="28"/>
          <w:szCs w:val="28"/>
        </w:rPr>
        <w:t xml:space="preserve">. </w:t>
      </w:r>
    </w:p>
    <w:p w14:paraId="63D01FF0" w14:textId="36E1D1CF" w:rsidR="001E2E25" w:rsidRPr="00BD2DAA" w:rsidRDefault="001E2E25" w:rsidP="001E2E25">
      <w:pPr>
        <w:spacing w:before="240" w:after="240"/>
        <w:rPr>
          <w:rFonts w:asciiTheme="majorBidi" w:hAnsiTheme="majorBidi" w:cstheme="majorBidi"/>
          <w:color w:val="000000"/>
          <w:sz w:val="28"/>
          <w:szCs w:val="28"/>
        </w:rPr>
      </w:pPr>
      <w:r w:rsidRPr="00BD2DAA">
        <w:rPr>
          <w:rFonts w:asciiTheme="majorBidi" w:hAnsiTheme="majorBidi" w:cstheme="majorBidi"/>
          <w:color w:val="000000"/>
          <w:sz w:val="28"/>
          <w:szCs w:val="28"/>
        </w:rPr>
        <w:t xml:space="preserve">The mode of action of BCG immunotherapy is complex and not fully understood, depending on molecular interactions between the patient, the immune system, and the tumor </w:t>
      </w:r>
      <w:r w:rsidRPr="00BD2DAA">
        <w:rPr>
          <w:rFonts w:asciiTheme="majorBidi" w:hAnsiTheme="majorBidi" w:cstheme="majorBidi"/>
          <w:b/>
          <w:bCs/>
          <w:i/>
          <w:iCs/>
          <w:color w:val="000000"/>
          <w:sz w:val="28"/>
          <w:szCs w:val="28"/>
        </w:rPr>
        <w:t>(Redelman-Sidi et al., 2014)</w:t>
      </w:r>
      <w:r w:rsidRPr="00BD2DAA">
        <w:rPr>
          <w:rFonts w:asciiTheme="majorBidi" w:hAnsiTheme="majorBidi" w:cstheme="majorBidi"/>
          <w:color w:val="000000"/>
          <w:sz w:val="28"/>
          <w:szCs w:val="28"/>
        </w:rPr>
        <w:t xml:space="preserve">. While BCG is effective, the treatment fails in up to 30-40% of patients </w:t>
      </w:r>
      <w:r w:rsidRPr="00BD2DAA">
        <w:rPr>
          <w:rFonts w:asciiTheme="majorBidi" w:hAnsiTheme="majorBidi" w:cstheme="majorBidi"/>
          <w:b/>
          <w:bCs/>
          <w:i/>
          <w:iCs/>
          <w:color w:val="000000"/>
          <w:sz w:val="28"/>
          <w:szCs w:val="28"/>
        </w:rPr>
        <w:t>(Nepple et al., 2010)</w:t>
      </w:r>
      <w:r w:rsidRPr="00BD2DAA">
        <w:rPr>
          <w:rFonts w:asciiTheme="majorBidi" w:hAnsiTheme="majorBidi" w:cstheme="majorBidi"/>
          <w:color w:val="000000"/>
          <w:sz w:val="28"/>
          <w:szCs w:val="28"/>
        </w:rPr>
        <w:t xml:space="preserve">. It has been reported that the survival rate for patients progressing from NMI to muscle invasive disease may be worse than for patients with MIBC without a history of NMIBC </w:t>
      </w:r>
      <w:r w:rsidRPr="00BD2DAA">
        <w:rPr>
          <w:rFonts w:asciiTheme="majorBidi" w:hAnsiTheme="majorBidi" w:cstheme="majorBidi"/>
          <w:b/>
          <w:bCs/>
          <w:i/>
          <w:iCs/>
          <w:color w:val="000000"/>
          <w:sz w:val="28"/>
          <w:szCs w:val="28"/>
        </w:rPr>
        <w:t>(van den</w:t>
      </w:r>
      <w:r w:rsidR="00272FE4" w:rsidRPr="00272FE4">
        <w:rPr>
          <w:rFonts w:ascii="Times New Roman" w:hAnsi="Times New Roman" w:cs="Times New Roman"/>
          <w:b/>
          <w:bCs/>
          <w:i/>
          <w:iCs/>
          <w:sz w:val="28"/>
          <w:szCs w:val="28"/>
        </w:rPr>
        <w:t xml:space="preserve"> </w:t>
      </w:r>
      <w:r w:rsidR="00272FE4">
        <w:rPr>
          <w:rFonts w:ascii="Times New Roman" w:hAnsi="Times New Roman" w:cs="Times New Roman"/>
          <w:b/>
          <w:bCs/>
          <w:i/>
          <w:iCs/>
          <w:sz w:val="28"/>
          <w:szCs w:val="28"/>
        </w:rPr>
        <w:t>Bosch</w:t>
      </w:r>
      <w:r w:rsidRPr="00BD2DAA">
        <w:rPr>
          <w:rFonts w:asciiTheme="majorBidi" w:hAnsiTheme="majorBidi" w:cstheme="majorBidi"/>
          <w:b/>
          <w:bCs/>
          <w:i/>
          <w:iCs/>
          <w:color w:val="000000"/>
          <w:sz w:val="28"/>
          <w:szCs w:val="28"/>
        </w:rPr>
        <w:t xml:space="preserve"> and Alfred, 2011)</w:t>
      </w:r>
      <w:r w:rsidRPr="00BD2DAA">
        <w:rPr>
          <w:rFonts w:asciiTheme="majorBidi" w:hAnsiTheme="majorBidi" w:cstheme="majorBidi"/>
          <w:color w:val="000000"/>
          <w:sz w:val="28"/>
          <w:szCs w:val="28"/>
        </w:rPr>
        <w:t>.</w:t>
      </w:r>
    </w:p>
    <w:p w14:paraId="4266348C" w14:textId="4CC718B1" w:rsidR="001E2E25" w:rsidRPr="00BD2DAA" w:rsidRDefault="001E2E25" w:rsidP="001E2E25">
      <w:pPr>
        <w:spacing w:before="240" w:after="240"/>
        <w:rPr>
          <w:rFonts w:asciiTheme="majorBidi" w:hAnsiTheme="majorBidi" w:cstheme="majorBidi"/>
          <w:color w:val="000000"/>
          <w:sz w:val="28"/>
          <w:szCs w:val="28"/>
        </w:rPr>
      </w:pPr>
      <w:r w:rsidRPr="00BD2DAA">
        <w:rPr>
          <w:rFonts w:asciiTheme="majorBidi" w:hAnsiTheme="majorBidi" w:cstheme="majorBidi"/>
          <w:color w:val="000000"/>
          <w:sz w:val="28"/>
          <w:szCs w:val="28"/>
        </w:rPr>
        <w:t xml:space="preserve">The most appropriate treatment method for high risk T1 and operable primary or progressed muscle invasive tumors (stage ≥T2) is </w:t>
      </w:r>
      <w:bookmarkStart w:id="38" w:name="_Hlk71753567"/>
      <w:r w:rsidRPr="00BD2DAA">
        <w:rPr>
          <w:rFonts w:asciiTheme="majorBidi" w:hAnsiTheme="majorBidi" w:cstheme="majorBidi"/>
          <w:color w:val="000000"/>
          <w:sz w:val="28"/>
          <w:szCs w:val="28"/>
        </w:rPr>
        <w:t>radical cystectomy (RC</w:t>
      </w:r>
      <w:bookmarkEnd w:id="38"/>
      <w:r w:rsidRPr="00BD2DAA">
        <w:rPr>
          <w:rFonts w:asciiTheme="majorBidi" w:hAnsiTheme="majorBidi" w:cstheme="majorBidi"/>
          <w:color w:val="000000"/>
          <w:sz w:val="28"/>
          <w:szCs w:val="28"/>
        </w:rPr>
        <w:t xml:space="preserve">). This is a surgery with curative intent involving removal of the urinary bladder and pelvic </w:t>
      </w:r>
      <w:r w:rsidR="00936BF2" w:rsidRPr="00BD2DAA">
        <w:rPr>
          <w:rFonts w:asciiTheme="majorBidi" w:hAnsiTheme="majorBidi" w:cstheme="majorBidi"/>
          <w:color w:val="000000"/>
          <w:sz w:val="28"/>
          <w:szCs w:val="28"/>
        </w:rPr>
        <w:t>lymphadenectomy and</w:t>
      </w:r>
      <w:r w:rsidRPr="00BD2DAA">
        <w:rPr>
          <w:rFonts w:asciiTheme="majorBidi" w:hAnsiTheme="majorBidi" w:cstheme="majorBidi"/>
          <w:color w:val="000000"/>
          <w:sz w:val="28"/>
          <w:szCs w:val="28"/>
        </w:rPr>
        <w:t xml:space="preserve"> is always accompanied by prostatectomy in males or usually hysterectomy in females. If the patient is eligible, the cystectomy may be paired by systemic </w:t>
      </w:r>
      <w:bookmarkStart w:id="39" w:name="_Hlk71753623"/>
      <w:r w:rsidRPr="00BD2DAA">
        <w:rPr>
          <w:rFonts w:asciiTheme="majorBidi" w:hAnsiTheme="majorBidi" w:cstheme="majorBidi"/>
          <w:color w:val="000000"/>
          <w:sz w:val="28"/>
          <w:szCs w:val="28"/>
        </w:rPr>
        <w:t>neoadjuvant chemotherapy (NAC</w:t>
      </w:r>
      <w:bookmarkEnd w:id="39"/>
      <w:r w:rsidRPr="00BD2DAA">
        <w:rPr>
          <w:rFonts w:asciiTheme="majorBidi" w:hAnsiTheme="majorBidi" w:cstheme="majorBidi"/>
          <w:color w:val="000000"/>
          <w:sz w:val="28"/>
          <w:szCs w:val="28"/>
        </w:rPr>
        <w:t xml:space="preserve">) to target potential micrometastatic disease prior to surgery, which has been shown to provide a 5-8% increase in </w:t>
      </w:r>
      <w:bookmarkStart w:id="40" w:name="_Hlk71753648"/>
      <w:r w:rsidRPr="00BD2DAA">
        <w:rPr>
          <w:rFonts w:asciiTheme="majorBidi" w:hAnsiTheme="majorBidi" w:cstheme="majorBidi"/>
          <w:color w:val="000000"/>
          <w:sz w:val="28"/>
          <w:szCs w:val="28"/>
        </w:rPr>
        <w:t>overall survival (OS</w:t>
      </w:r>
      <w:bookmarkEnd w:id="40"/>
      <w:r w:rsidRPr="00BD2DAA">
        <w:rPr>
          <w:rFonts w:asciiTheme="majorBidi" w:hAnsiTheme="majorBidi" w:cstheme="majorBidi"/>
          <w:color w:val="000000"/>
          <w:sz w:val="28"/>
          <w:szCs w:val="28"/>
        </w:rPr>
        <w:t xml:space="preserve">) and a 9% increase in </w:t>
      </w:r>
      <w:bookmarkStart w:id="41" w:name="_Hlk71753687"/>
      <w:r w:rsidRPr="00BD2DAA">
        <w:rPr>
          <w:rFonts w:asciiTheme="majorBidi" w:hAnsiTheme="majorBidi" w:cstheme="majorBidi"/>
          <w:color w:val="000000"/>
          <w:sz w:val="28"/>
          <w:szCs w:val="28"/>
        </w:rPr>
        <w:t>cancer specific survival (CSS</w:t>
      </w:r>
      <w:bookmarkEnd w:id="41"/>
      <w:r w:rsidRPr="00BD2DAA">
        <w:rPr>
          <w:rFonts w:asciiTheme="majorBidi" w:hAnsiTheme="majorBidi" w:cstheme="majorBidi"/>
          <w:color w:val="000000"/>
          <w:sz w:val="28"/>
          <w:szCs w:val="28"/>
        </w:rPr>
        <w:t>)</w:t>
      </w:r>
      <w:r w:rsidRPr="00BD2DAA">
        <w:rPr>
          <w:rFonts w:asciiTheme="majorBidi" w:hAnsiTheme="majorBidi" w:cstheme="majorBidi"/>
          <w:color w:val="000000"/>
        </w:rPr>
        <w:t xml:space="preserve"> </w:t>
      </w:r>
      <w:r w:rsidRPr="00BD2DAA">
        <w:rPr>
          <w:rFonts w:asciiTheme="majorBidi" w:hAnsiTheme="majorBidi" w:cstheme="majorBidi"/>
          <w:b/>
          <w:bCs/>
          <w:i/>
          <w:iCs/>
          <w:color w:val="000000"/>
          <w:sz w:val="28"/>
          <w:szCs w:val="28"/>
        </w:rPr>
        <w:t>(Yin et al., 2016)</w:t>
      </w:r>
      <w:r w:rsidRPr="00BD2DAA">
        <w:rPr>
          <w:rFonts w:asciiTheme="majorBidi" w:hAnsiTheme="majorBidi" w:cstheme="majorBidi"/>
          <w:color w:val="000000"/>
          <w:sz w:val="28"/>
          <w:szCs w:val="28"/>
        </w:rPr>
        <w:t xml:space="preserve">. The chemotherapy mainly consists of cisplatin-based combination </w:t>
      </w:r>
      <w:r w:rsidR="00936BF2" w:rsidRPr="00BD2DAA">
        <w:rPr>
          <w:rFonts w:asciiTheme="majorBidi" w:hAnsiTheme="majorBidi" w:cstheme="majorBidi"/>
          <w:color w:val="000000"/>
          <w:sz w:val="28"/>
          <w:szCs w:val="28"/>
        </w:rPr>
        <w:t>e.g.,</w:t>
      </w:r>
      <w:r w:rsidRPr="00BD2DAA">
        <w:rPr>
          <w:rFonts w:asciiTheme="majorBidi" w:hAnsiTheme="majorBidi" w:cstheme="majorBidi"/>
          <w:color w:val="000000"/>
          <w:sz w:val="28"/>
          <w:szCs w:val="28"/>
        </w:rPr>
        <w:t xml:space="preserve"> </w:t>
      </w:r>
      <w:bookmarkStart w:id="42" w:name="_Hlk71753762"/>
      <w:r w:rsidRPr="00BD2DAA">
        <w:rPr>
          <w:rFonts w:asciiTheme="majorBidi" w:hAnsiTheme="majorBidi" w:cstheme="majorBidi"/>
          <w:color w:val="000000"/>
          <w:sz w:val="28"/>
          <w:szCs w:val="28"/>
        </w:rPr>
        <w:t>gemcitabine and cisplatin (GC), or methotrexate, vinblastine, adriamycin, and cisplatin (MVAC</w:t>
      </w:r>
      <w:bookmarkEnd w:id="42"/>
      <w:r w:rsidRPr="00BD2DAA">
        <w:rPr>
          <w:rFonts w:asciiTheme="majorBidi" w:hAnsiTheme="majorBidi" w:cstheme="majorBidi"/>
          <w:color w:val="000000"/>
          <w:sz w:val="28"/>
          <w:szCs w:val="28"/>
        </w:rPr>
        <w:t xml:space="preserve">). These regimes are sometimes also used in the adjuvant setting </w:t>
      </w:r>
      <w:r w:rsidRPr="00BD2DAA">
        <w:rPr>
          <w:rFonts w:asciiTheme="majorBidi" w:hAnsiTheme="majorBidi" w:cstheme="majorBidi"/>
          <w:b/>
          <w:bCs/>
          <w:i/>
          <w:iCs/>
          <w:color w:val="000000"/>
          <w:sz w:val="28"/>
          <w:szCs w:val="28"/>
        </w:rPr>
        <w:t>(Zargar et al., 2018)</w:t>
      </w:r>
      <w:r w:rsidRPr="00BD2DAA">
        <w:rPr>
          <w:rFonts w:asciiTheme="majorBidi" w:hAnsiTheme="majorBidi" w:cstheme="majorBidi"/>
          <w:color w:val="000000"/>
          <w:sz w:val="28"/>
          <w:szCs w:val="28"/>
        </w:rPr>
        <w:t>.</w:t>
      </w:r>
    </w:p>
    <w:p w14:paraId="65FAC117" w14:textId="77777777" w:rsidR="001E2E25" w:rsidRDefault="001E2E25" w:rsidP="001E2E25">
      <w:pPr>
        <w:spacing w:before="240" w:after="240"/>
        <w:rPr>
          <w:rFonts w:asciiTheme="majorBidi" w:hAnsiTheme="majorBidi" w:cstheme="majorBidi"/>
          <w:color w:val="000000"/>
          <w:sz w:val="28"/>
          <w:szCs w:val="28"/>
        </w:rPr>
      </w:pPr>
      <w:bookmarkStart w:id="43" w:name="_Hlk71753798"/>
      <w:r w:rsidRPr="006746AA">
        <w:rPr>
          <w:rFonts w:asciiTheme="majorBidi" w:hAnsiTheme="majorBidi" w:cstheme="majorBidi"/>
          <w:color w:val="000000"/>
          <w:sz w:val="28"/>
          <w:szCs w:val="28"/>
        </w:rPr>
        <w:t>Open radical cystectomy (ORC</w:t>
      </w:r>
      <w:bookmarkEnd w:id="43"/>
      <w:r w:rsidRPr="006746AA">
        <w:rPr>
          <w:rFonts w:asciiTheme="majorBidi" w:hAnsiTheme="majorBidi" w:cstheme="majorBidi"/>
          <w:color w:val="000000"/>
          <w:sz w:val="28"/>
          <w:szCs w:val="28"/>
        </w:rPr>
        <w:t>) is the current gold-standard</w:t>
      </w:r>
      <w:r w:rsidRPr="006746AA">
        <w:rPr>
          <w:rFonts w:asciiTheme="majorBidi" w:hAnsiTheme="majorBidi" w:cstheme="majorBidi"/>
          <w:color w:val="000000"/>
          <w:sz w:val="28"/>
          <w:szCs w:val="28"/>
        </w:rPr>
        <w:br/>
        <w:t>treatment for MIBC and for high-risk recurrent NMIBC. Ideally, all</w:t>
      </w:r>
      <w:r w:rsidRPr="006746AA">
        <w:rPr>
          <w:rFonts w:asciiTheme="majorBidi" w:hAnsiTheme="majorBidi" w:cstheme="majorBidi"/>
          <w:color w:val="000000"/>
          <w:sz w:val="28"/>
          <w:szCs w:val="28"/>
        </w:rPr>
        <w:br/>
        <w:t>patients with MIBC should receive platinum-based neo-adjuvant</w:t>
      </w:r>
      <w:r w:rsidRPr="006746AA">
        <w:rPr>
          <w:rFonts w:asciiTheme="majorBidi" w:hAnsiTheme="majorBidi" w:cstheme="majorBidi"/>
          <w:color w:val="000000"/>
          <w:sz w:val="28"/>
          <w:szCs w:val="28"/>
        </w:rPr>
        <w:br/>
      </w:r>
      <w:r w:rsidRPr="006746AA">
        <w:rPr>
          <w:rFonts w:asciiTheme="majorBidi" w:hAnsiTheme="majorBidi" w:cstheme="majorBidi"/>
          <w:color w:val="000000"/>
          <w:sz w:val="28"/>
          <w:szCs w:val="28"/>
        </w:rPr>
        <w:lastRenderedPageBreak/>
        <w:t>chemotherapy (</w:t>
      </w:r>
      <w:r w:rsidRPr="006746AA">
        <w:rPr>
          <w:rFonts w:asciiTheme="majorBidi" w:hAnsiTheme="majorBidi" w:cstheme="majorBidi"/>
          <w:b/>
          <w:bCs/>
          <w:i/>
          <w:iCs/>
          <w:color w:val="000000"/>
          <w:sz w:val="28"/>
          <w:szCs w:val="28"/>
        </w:rPr>
        <w:t>Grossman et al., 2003</w:t>
      </w:r>
      <w:r w:rsidRPr="006746AA">
        <w:rPr>
          <w:rFonts w:asciiTheme="majorBidi" w:hAnsiTheme="majorBidi" w:cstheme="majorBidi"/>
          <w:color w:val="000000"/>
          <w:sz w:val="28"/>
          <w:szCs w:val="28"/>
        </w:rPr>
        <w:t xml:space="preserve">). The 5-year survival after cystectomy is about 50%. Advanced bladder cancer metastasizes to lymph nodes, bones, lungs or liver and these patients can be treated with cisplatin systemically </w:t>
      </w:r>
      <w:r w:rsidRPr="006746AA">
        <w:rPr>
          <w:rFonts w:asciiTheme="majorBidi" w:hAnsiTheme="majorBidi" w:cstheme="majorBidi"/>
          <w:b/>
          <w:bCs/>
          <w:i/>
          <w:iCs/>
          <w:color w:val="000000"/>
          <w:sz w:val="28"/>
          <w:szCs w:val="28"/>
        </w:rPr>
        <w:t>(Shah et al., 2011)</w:t>
      </w:r>
      <w:r w:rsidRPr="006746AA">
        <w:rPr>
          <w:rFonts w:asciiTheme="majorBidi" w:hAnsiTheme="majorBidi" w:cstheme="majorBidi"/>
          <w:color w:val="000000"/>
          <w:sz w:val="28"/>
          <w:szCs w:val="28"/>
        </w:rPr>
        <w:t>.</w:t>
      </w:r>
    </w:p>
    <w:p w14:paraId="5FCE6E37" w14:textId="77777777" w:rsidR="001E2E25" w:rsidRPr="006746AA" w:rsidRDefault="001E2E25" w:rsidP="00A75EAA">
      <w:pPr>
        <w:spacing w:before="240" w:after="240"/>
        <w:rPr>
          <w:rFonts w:asciiTheme="majorBidi" w:hAnsiTheme="majorBidi" w:cstheme="majorBidi"/>
          <w:color w:val="000000"/>
          <w:sz w:val="28"/>
          <w:szCs w:val="28"/>
        </w:rPr>
      </w:pPr>
      <w:r w:rsidRPr="006746AA">
        <w:rPr>
          <w:rFonts w:asciiTheme="majorBidi" w:hAnsiTheme="majorBidi" w:cstheme="majorBidi"/>
          <w:color w:val="000000"/>
          <w:sz w:val="28"/>
          <w:szCs w:val="28"/>
        </w:rPr>
        <w:t xml:space="preserve">ORC has a peri-operative complication rate of 25 to 62%. Therefore, minimally invasive techniques such as </w:t>
      </w:r>
      <w:bookmarkStart w:id="44" w:name="_Hlk71753819"/>
      <w:r w:rsidRPr="006746AA">
        <w:rPr>
          <w:rFonts w:asciiTheme="majorBidi" w:hAnsiTheme="majorBidi" w:cstheme="majorBidi"/>
          <w:color w:val="000000"/>
          <w:sz w:val="28"/>
          <w:szCs w:val="28"/>
        </w:rPr>
        <w:t>laparoscopic radical cystectomy (LRC</w:t>
      </w:r>
      <w:bookmarkEnd w:id="44"/>
      <w:r w:rsidRPr="006746AA">
        <w:rPr>
          <w:rFonts w:asciiTheme="majorBidi" w:hAnsiTheme="majorBidi" w:cstheme="majorBidi"/>
          <w:color w:val="000000"/>
          <w:sz w:val="28"/>
          <w:szCs w:val="28"/>
        </w:rPr>
        <w:t xml:space="preserve">) have been explored </w:t>
      </w:r>
      <w:r w:rsidRPr="006746AA">
        <w:rPr>
          <w:rFonts w:asciiTheme="majorBidi" w:hAnsiTheme="majorBidi" w:cstheme="majorBidi"/>
          <w:b/>
          <w:bCs/>
          <w:i/>
          <w:iCs/>
          <w:color w:val="000000"/>
          <w:sz w:val="28"/>
          <w:szCs w:val="28"/>
        </w:rPr>
        <w:t>(Cheung et al., 2013)</w:t>
      </w:r>
      <w:r w:rsidRPr="006746AA">
        <w:rPr>
          <w:rFonts w:asciiTheme="majorBidi" w:hAnsiTheme="majorBidi" w:cstheme="majorBidi"/>
          <w:color w:val="000000"/>
          <w:sz w:val="28"/>
          <w:szCs w:val="28"/>
        </w:rPr>
        <w:t xml:space="preserve">. The advantages of LRC include decreased blood loss, reduced postoperative pain, early return of bowel function and shorter hospital stay. Furthermore, LRC has good early oncologic outcomes with low morbidity in large cohorts with up to 5 years followup </w:t>
      </w:r>
      <w:r w:rsidRPr="006746AA">
        <w:rPr>
          <w:rFonts w:asciiTheme="majorBidi" w:hAnsiTheme="majorBidi" w:cstheme="majorBidi"/>
          <w:b/>
          <w:bCs/>
          <w:i/>
          <w:iCs/>
          <w:color w:val="000000"/>
          <w:sz w:val="28"/>
          <w:szCs w:val="28"/>
        </w:rPr>
        <w:t>(Shah et al., 2011)</w:t>
      </w:r>
      <w:r w:rsidRPr="006746AA">
        <w:rPr>
          <w:rFonts w:asciiTheme="majorBidi" w:hAnsiTheme="majorBidi" w:cstheme="majorBidi"/>
          <w:color w:val="000000"/>
          <w:sz w:val="28"/>
          <w:szCs w:val="28"/>
        </w:rPr>
        <w:t xml:space="preserve">. </w:t>
      </w:r>
    </w:p>
    <w:p w14:paraId="0D670C2D" w14:textId="77777777" w:rsidR="00C03CB5" w:rsidRDefault="00C03CB5" w:rsidP="00803C02">
      <w:pPr>
        <w:spacing w:after="120"/>
        <w:rPr>
          <w:rFonts w:asciiTheme="majorBidi" w:hAnsiTheme="majorBidi" w:cstheme="majorBidi"/>
          <w:sz w:val="28"/>
          <w:szCs w:val="28"/>
        </w:rPr>
      </w:pPr>
    </w:p>
    <w:p w14:paraId="454AC5CE" w14:textId="77777777" w:rsidR="00646384" w:rsidRPr="00BD2DAA" w:rsidRDefault="00646384" w:rsidP="00803C02">
      <w:pPr>
        <w:spacing w:after="120"/>
        <w:rPr>
          <w:rFonts w:asciiTheme="majorBidi" w:hAnsiTheme="majorBidi" w:cstheme="majorBidi"/>
          <w:sz w:val="28"/>
          <w:szCs w:val="28"/>
        </w:rPr>
      </w:pPr>
    </w:p>
    <w:p w14:paraId="60935729" w14:textId="77777777" w:rsidR="00F0014A" w:rsidRDefault="00F0014A" w:rsidP="00803C02">
      <w:pPr>
        <w:autoSpaceDE w:val="0"/>
        <w:autoSpaceDN w:val="0"/>
        <w:adjustRightInd w:val="0"/>
        <w:spacing w:after="120"/>
        <w:rPr>
          <w:rFonts w:ascii="Times New Roman" w:hAnsi="Times New Roman" w:cs="Times New Roman"/>
          <w:sz w:val="28"/>
          <w:szCs w:val="28"/>
        </w:rPr>
      </w:pPr>
    </w:p>
    <w:p w14:paraId="0F83AC3E" w14:textId="77777777" w:rsidR="0073099B" w:rsidRPr="00A81B9E" w:rsidRDefault="0073099B" w:rsidP="00A646C9">
      <w:pPr>
        <w:autoSpaceDE w:val="0"/>
        <w:autoSpaceDN w:val="0"/>
        <w:adjustRightInd w:val="0"/>
        <w:spacing w:before="120" w:after="120"/>
        <w:rPr>
          <w:rFonts w:asciiTheme="majorBidi" w:hAnsiTheme="majorBidi" w:cstheme="majorBidi"/>
          <w:sz w:val="28"/>
          <w:szCs w:val="28"/>
        </w:rPr>
      </w:pPr>
    </w:p>
    <w:sectPr w:rsidR="0073099B" w:rsidRPr="00A81B9E" w:rsidSect="00972DAB">
      <w:headerReference w:type="default" r:id="rId19"/>
      <w:footerReference w:type="default" r:id="rId20"/>
      <w:pgSz w:w="11906" w:h="16838" w:code="9"/>
      <w:pgMar w:top="1440" w:right="1440" w:bottom="1440" w:left="153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95485" w14:textId="77777777" w:rsidR="00157705" w:rsidRDefault="00157705" w:rsidP="00A81B9E">
      <w:pPr>
        <w:spacing w:line="240" w:lineRule="auto"/>
      </w:pPr>
      <w:r>
        <w:separator/>
      </w:r>
    </w:p>
  </w:endnote>
  <w:endnote w:type="continuationSeparator" w:id="0">
    <w:p w14:paraId="485D02CB" w14:textId="77777777" w:rsidR="00157705" w:rsidRDefault="00157705" w:rsidP="00A81B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0C07E" w14:textId="77777777" w:rsidR="00A03AAD" w:rsidRPr="00012E42" w:rsidRDefault="00283F89" w:rsidP="00A03AAD">
    <w:pPr>
      <w:pStyle w:val="Footer"/>
      <w:pBdr>
        <w:top w:val="thinThickSmallGap" w:sz="24" w:space="1" w:color="auto"/>
      </w:pBdr>
      <w:jc w:val="center"/>
      <w:rPr>
        <w:rFonts w:asciiTheme="majorBidi" w:eastAsiaTheme="majorEastAsia" w:hAnsiTheme="majorBidi" w:cstheme="majorBidi"/>
        <w:b/>
        <w:bCs/>
        <w:sz w:val="24"/>
        <w:szCs w:val="24"/>
      </w:rPr>
    </w:pPr>
    <w:r w:rsidRPr="00012E42">
      <w:rPr>
        <w:rFonts w:asciiTheme="majorBidi" w:eastAsiaTheme="minorEastAsia" w:hAnsiTheme="majorBidi" w:cstheme="majorBidi"/>
        <w:b/>
        <w:bCs/>
        <w:sz w:val="24"/>
        <w:szCs w:val="24"/>
      </w:rPr>
      <w:fldChar w:fldCharType="begin"/>
    </w:r>
    <w:r w:rsidR="00A03AAD" w:rsidRPr="00012E42">
      <w:rPr>
        <w:rFonts w:asciiTheme="majorBidi" w:hAnsiTheme="majorBidi" w:cstheme="majorBidi"/>
        <w:b/>
        <w:bCs/>
        <w:sz w:val="24"/>
        <w:szCs w:val="24"/>
      </w:rPr>
      <w:instrText xml:space="preserve"> PAGE   \* MERGEFORMAT </w:instrText>
    </w:r>
    <w:r w:rsidRPr="00012E42">
      <w:rPr>
        <w:rFonts w:asciiTheme="majorBidi" w:eastAsiaTheme="minorEastAsia" w:hAnsiTheme="majorBidi" w:cstheme="majorBidi"/>
        <w:b/>
        <w:bCs/>
        <w:sz w:val="24"/>
        <w:szCs w:val="24"/>
      </w:rPr>
      <w:fldChar w:fldCharType="separate"/>
    </w:r>
    <w:r w:rsidR="00BA3F0C" w:rsidRPr="00012E42">
      <w:rPr>
        <w:rFonts w:asciiTheme="majorBidi" w:eastAsiaTheme="majorEastAsia" w:hAnsiTheme="majorBidi" w:cstheme="majorBidi"/>
        <w:b/>
        <w:bCs/>
        <w:noProof/>
        <w:sz w:val="24"/>
        <w:szCs w:val="24"/>
      </w:rPr>
      <w:t>28</w:t>
    </w:r>
    <w:r w:rsidRPr="00012E42">
      <w:rPr>
        <w:rFonts w:asciiTheme="majorBidi" w:eastAsiaTheme="majorEastAsia" w:hAnsiTheme="majorBidi" w:cstheme="majorBidi"/>
        <w:b/>
        <w:bCs/>
        <w:noProof/>
        <w:sz w:val="24"/>
        <w:szCs w:val="24"/>
      </w:rPr>
      <w:fldChar w:fldCharType="end"/>
    </w:r>
  </w:p>
  <w:p w14:paraId="3E157638" w14:textId="77777777" w:rsidR="00A03AAD" w:rsidRDefault="00A03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9CF1F" w14:textId="77777777" w:rsidR="00157705" w:rsidRDefault="00157705" w:rsidP="00A81B9E">
      <w:pPr>
        <w:spacing w:line="240" w:lineRule="auto"/>
      </w:pPr>
      <w:r>
        <w:separator/>
      </w:r>
    </w:p>
  </w:footnote>
  <w:footnote w:type="continuationSeparator" w:id="0">
    <w:p w14:paraId="6637AEF0" w14:textId="77777777" w:rsidR="00157705" w:rsidRDefault="00157705" w:rsidP="00A81B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id w:val="319434125"/>
      <w:placeholder>
        <w:docPart w:val="A1BA4B7ECABD400F8F71CD3AD303B681"/>
      </w:placeholder>
      <w:dataBinding w:prefixMappings="xmlns:ns0='http://schemas.openxmlformats.org/package/2006/metadata/core-properties' xmlns:ns1='http://purl.org/dc/elements/1.1/'" w:xpath="/ns0:coreProperties[1]/ns1:title[1]" w:storeItemID="{6C3C8BC8-F283-45AE-878A-BAB7291924A1}"/>
      <w:text/>
    </w:sdtPr>
    <w:sdtEndPr/>
    <w:sdtContent>
      <w:p w14:paraId="7B85E8B2" w14:textId="77777777" w:rsidR="00543F88" w:rsidRPr="001C2D2D" w:rsidRDefault="00323FD5" w:rsidP="00323FD5">
        <w:pPr>
          <w:pStyle w:val="Style1"/>
        </w:pPr>
        <w:r>
          <w:t>Bladder Cancer</w:t>
        </w:r>
      </w:p>
    </w:sdtContent>
  </w:sdt>
  <w:p w14:paraId="5B3CEB03" w14:textId="77777777" w:rsidR="00A03AAD" w:rsidRDefault="00A03A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15C50"/>
    <w:multiLevelType w:val="hybridMultilevel"/>
    <w:tmpl w:val="BEC88D8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4447C3"/>
    <w:multiLevelType w:val="hybridMultilevel"/>
    <w:tmpl w:val="5BA8AFEE"/>
    <w:lvl w:ilvl="0" w:tplc="CFCEA14C">
      <w:start w:val="1"/>
      <w:numFmt w:val="lowerLetter"/>
      <w:lvlText w:val="%1)"/>
      <w:lvlJc w:val="left"/>
      <w:pPr>
        <w:ind w:left="720" w:hanging="360"/>
      </w:pPr>
      <w:rPr>
        <w:rFonts w:hint="default"/>
        <w:b/>
        <w:bCs/>
        <w:w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2D4FEC"/>
    <w:multiLevelType w:val="hybridMultilevel"/>
    <w:tmpl w:val="17A8E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E2763A"/>
    <w:multiLevelType w:val="hybridMultilevel"/>
    <w:tmpl w:val="5CDA7858"/>
    <w:lvl w:ilvl="0" w:tplc="2F542452">
      <w:start w:val="1"/>
      <w:numFmt w:val="lowerLetter"/>
      <w:lvlText w:val="%1)"/>
      <w:lvlJc w:val="left"/>
      <w:pPr>
        <w:ind w:left="720" w:hanging="360"/>
      </w:pPr>
      <w:rPr>
        <w:rFonts w:hint="default"/>
        <w:b/>
        <w:bCs/>
        <w:w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8F7D2F"/>
    <w:multiLevelType w:val="hybridMultilevel"/>
    <w:tmpl w:val="EEB4FD48"/>
    <w:lvl w:ilvl="0" w:tplc="550E8A9E">
      <w:start w:val="1"/>
      <w:numFmt w:val="decimal"/>
      <w:lvlText w:val="%1."/>
      <w:lvlJc w:val="left"/>
      <w:pPr>
        <w:ind w:left="5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631B"/>
    <w:rsid w:val="00012E42"/>
    <w:rsid w:val="00020CCF"/>
    <w:rsid w:val="000301D2"/>
    <w:rsid w:val="00075A84"/>
    <w:rsid w:val="000A244A"/>
    <w:rsid w:val="000B3ED4"/>
    <w:rsid w:val="000C027A"/>
    <w:rsid w:val="000C5412"/>
    <w:rsid w:val="000E7A26"/>
    <w:rsid w:val="00157705"/>
    <w:rsid w:val="00160BCE"/>
    <w:rsid w:val="0019483D"/>
    <w:rsid w:val="00195835"/>
    <w:rsid w:val="001B52F0"/>
    <w:rsid w:val="001E2E25"/>
    <w:rsid w:val="001E36CA"/>
    <w:rsid w:val="00242BF4"/>
    <w:rsid w:val="00272FE4"/>
    <w:rsid w:val="00275C21"/>
    <w:rsid w:val="00283F89"/>
    <w:rsid w:val="002940DA"/>
    <w:rsid w:val="0029628A"/>
    <w:rsid w:val="002D73F7"/>
    <w:rsid w:val="002E487D"/>
    <w:rsid w:val="00323FD5"/>
    <w:rsid w:val="00332191"/>
    <w:rsid w:val="0034023C"/>
    <w:rsid w:val="00380FC5"/>
    <w:rsid w:val="003A5805"/>
    <w:rsid w:val="003B422F"/>
    <w:rsid w:val="003B7612"/>
    <w:rsid w:val="003C0BA6"/>
    <w:rsid w:val="003E10E5"/>
    <w:rsid w:val="00416575"/>
    <w:rsid w:val="00460867"/>
    <w:rsid w:val="004763C6"/>
    <w:rsid w:val="00476F41"/>
    <w:rsid w:val="004A4EF7"/>
    <w:rsid w:val="004D15F4"/>
    <w:rsid w:val="004D1C5E"/>
    <w:rsid w:val="00512638"/>
    <w:rsid w:val="00543F88"/>
    <w:rsid w:val="00551ED1"/>
    <w:rsid w:val="005553DC"/>
    <w:rsid w:val="005560DB"/>
    <w:rsid w:val="00560A69"/>
    <w:rsid w:val="00565B1C"/>
    <w:rsid w:val="00584F6D"/>
    <w:rsid w:val="00594E5E"/>
    <w:rsid w:val="005A58B9"/>
    <w:rsid w:val="005E6F0A"/>
    <w:rsid w:val="005E73DB"/>
    <w:rsid w:val="00620699"/>
    <w:rsid w:val="006227EC"/>
    <w:rsid w:val="00646384"/>
    <w:rsid w:val="00656115"/>
    <w:rsid w:val="006C6583"/>
    <w:rsid w:val="006D59D9"/>
    <w:rsid w:val="006D6447"/>
    <w:rsid w:val="006E0C6C"/>
    <w:rsid w:val="006F7A4C"/>
    <w:rsid w:val="007019AA"/>
    <w:rsid w:val="00704859"/>
    <w:rsid w:val="0073099B"/>
    <w:rsid w:val="00746560"/>
    <w:rsid w:val="00762856"/>
    <w:rsid w:val="00772D86"/>
    <w:rsid w:val="007B33C2"/>
    <w:rsid w:val="007B49B5"/>
    <w:rsid w:val="00803C02"/>
    <w:rsid w:val="00807C61"/>
    <w:rsid w:val="0082631B"/>
    <w:rsid w:val="008329C3"/>
    <w:rsid w:val="008440AB"/>
    <w:rsid w:val="008A6F49"/>
    <w:rsid w:val="008B47D6"/>
    <w:rsid w:val="008F4E3E"/>
    <w:rsid w:val="00906B86"/>
    <w:rsid w:val="00936BF2"/>
    <w:rsid w:val="00972DAB"/>
    <w:rsid w:val="00973231"/>
    <w:rsid w:val="00976B4F"/>
    <w:rsid w:val="00981633"/>
    <w:rsid w:val="009A670C"/>
    <w:rsid w:val="009A768B"/>
    <w:rsid w:val="009D0C07"/>
    <w:rsid w:val="00A03AAD"/>
    <w:rsid w:val="00A130A5"/>
    <w:rsid w:val="00A25A80"/>
    <w:rsid w:val="00A61DAD"/>
    <w:rsid w:val="00A63B51"/>
    <w:rsid w:val="00A646C9"/>
    <w:rsid w:val="00A75EAA"/>
    <w:rsid w:val="00A81B9E"/>
    <w:rsid w:val="00A822FF"/>
    <w:rsid w:val="00B03FB6"/>
    <w:rsid w:val="00B44B23"/>
    <w:rsid w:val="00B514F3"/>
    <w:rsid w:val="00B52090"/>
    <w:rsid w:val="00B566E2"/>
    <w:rsid w:val="00B6020E"/>
    <w:rsid w:val="00B7568B"/>
    <w:rsid w:val="00B93FC8"/>
    <w:rsid w:val="00BA3F0C"/>
    <w:rsid w:val="00C03CB5"/>
    <w:rsid w:val="00C226F7"/>
    <w:rsid w:val="00C33DCB"/>
    <w:rsid w:val="00C40320"/>
    <w:rsid w:val="00C4486F"/>
    <w:rsid w:val="00C5530F"/>
    <w:rsid w:val="00C60159"/>
    <w:rsid w:val="00C65D87"/>
    <w:rsid w:val="00C67EB7"/>
    <w:rsid w:val="00C71A50"/>
    <w:rsid w:val="00CC458A"/>
    <w:rsid w:val="00D06A82"/>
    <w:rsid w:val="00D57D07"/>
    <w:rsid w:val="00D63D22"/>
    <w:rsid w:val="00D73511"/>
    <w:rsid w:val="00D90841"/>
    <w:rsid w:val="00DA7092"/>
    <w:rsid w:val="00DB07BF"/>
    <w:rsid w:val="00DE34D1"/>
    <w:rsid w:val="00E45560"/>
    <w:rsid w:val="00ED22E9"/>
    <w:rsid w:val="00F0014A"/>
    <w:rsid w:val="00F01BEB"/>
    <w:rsid w:val="00F27BE6"/>
    <w:rsid w:val="00F90D85"/>
    <w:rsid w:val="00FA503B"/>
    <w:rsid w:val="00FB36D4"/>
    <w:rsid w:val="00FB3EA8"/>
    <w:rsid w:val="00FD5AAB"/>
    <w:rsid w:val="00FE2E30"/>
    <w:rsid w:val="00FE4325"/>
    <w:rsid w:val="00FF78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DD24F"/>
  <w15:docId w15:val="{B35455AE-95D5-4A04-942B-BCF98410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3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autoRedefine/>
    <w:qFormat/>
    <w:rsid w:val="00323FD5"/>
    <w:pPr>
      <w:pBdr>
        <w:bottom w:val="thickThinSmallGap" w:sz="24" w:space="1" w:color="auto"/>
      </w:pBdr>
      <w:tabs>
        <w:tab w:val="left" w:pos="2250"/>
        <w:tab w:val="center" w:pos="4154"/>
        <w:tab w:val="right" w:pos="8306"/>
      </w:tabs>
      <w:spacing w:line="240" w:lineRule="auto"/>
      <w:jc w:val="right"/>
    </w:pPr>
    <w:rPr>
      <w:rFonts w:asciiTheme="majorBidi" w:eastAsiaTheme="majorEastAsia" w:hAnsiTheme="majorBidi" w:cstheme="majorBidi"/>
      <w:b/>
      <w:bCs/>
      <w:i/>
      <w:iCs/>
      <w:sz w:val="24"/>
      <w:szCs w:val="24"/>
    </w:rPr>
  </w:style>
  <w:style w:type="character" w:customStyle="1" w:styleId="Style1Char">
    <w:name w:val="Style1 Char"/>
    <w:basedOn w:val="DefaultParagraphFont"/>
    <w:link w:val="Style1"/>
    <w:rsid w:val="00323FD5"/>
    <w:rPr>
      <w:rFonts w:asciiTheme="majorBidi" w:eastAsiaTheme="majorEastAsia" w:hAnsiTheme="majorBidi" w:cstheme="majorBidi"/>
      <w:b/>
      <w:bCs/>
      <w:i/>
      <w:iCs/>
      <w:sz w:val="24"/>
      <w:szCs w:val="24"/>
    </w:rPr>
  </w:style>
  <w:style w:type="table" w:styleId="TableGrid">
    <w:name w:val="Table Grid"/>
    <w:basedOn w:val="TableNormal"/>
    <w:uiPriority w:val="39"/>
    <w:rsid w:val="00C226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1B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B9E"/>
    <w:rPr>
      <w:rFonts w:ascii="Tahoma" w:hAnsi="Tahoma" w:cs="Tahoma"/>
      <w:sz w:val="16"/>
      <w:szCs w:val="16"/>
    </w:rPr>
  </w:style>
  <w:style w:type="character" w:styleId="Hyperlink">
    <w:name w:val="Hyperlink"/>
    <w:basedOn w:val="DefaultParagraphFont"/>
    <w:uiPriority w:val="99"/>
    <w:unhideWhenUsed/>
    <w:rsid w:val="00A81B9E"/>
    <w:rPr>
      <w:color w:val="0000FF" w:themeColor="hyperlink"/>
      <w:u w:val="single"/>
    </w:rPr>
  </w:style>
  <w:style w:type="paragraph" w:styleId="Header">
    <w:name w:val="header"/>
    <w:basedOn w:val="Normal"/>
    <w:link w:val="HeaderChar"/>
    <w:uiPriority w:val="99"/>
    <w:unhideWhenUsed/>
    <w:rsid w:val="00A81B9E"/>
    <w:pPr>
      <w:tabs>
        <w:tab w:val="center" w:pos="4680"/>
        <w:tab w:val="right" w:pos="9360"/>
      </w:tabs>
      <w:spacing w:line="240" w:lineRule="auto"/>
    </w:pPr>
  </w:style>
  <w:style w:type="character" w:customStyle="1" w:styleId="HeaderChar">
    <w:name w:val="Header Char"/>
    <w:basedOn w:val="DefaultParagraphFont"/>
    <w:link w:val="Header"/>
    <w:uiPriority w:val="99"/>
    <w:rsid w:val="00A81B9E"/>
  </w:style>
  <w:style w:type="paragraph" w:styleId="Footer">
    <w:name w:val="footer"/>
    <w:basedOn w:val="Normal"/>
    <w:link w:val="FooterChar"/>
    <w:uiPriority w:val="99"/>
    <w:unhideWhenUsed/>
    <w:rsid w:val="00A81B9E"/>
    <w:pPr>
      <w:tabs>
        <w:tab w:val="center" w:pos="4680"/>
        <w:tab w:val="right" w:pos="9360"/>
      </w:tabs>
      <w:spacing w:line="240" w:lineRule="auto"/>
    </w:pPr>
  </w:style>
  <w:style w:type="character" w:customStyle="1" w:styleId="FooterChar">
    <w:name w:val="Footer Char"/>
    <w:basedOn w:val="DefaultParagraphFont"/>
    <w:link w:val="Footer"/>
    <w:uiPriority w:val="99"/>
    <w:rsid w:val="00A81B9E"/>
  </w:style>
  <w:style w:type="paragraph" w:styleId="ListParagraph">
    <w:name w:val="List Paragraph"/>
    <w:basedOn w:val="Normal"/>
    <w:uiPriority w:val="34"/>
    <w:qFormat/>
    <w:rsid w:val="000C5412"/>
    <w:pPr>
      <w:spacing w:after="200" w:line="276" w:lineRule="auto"/>
      <w:ind w:left="720" w:firstLine="0"/>
      <w:contextualSpacing/>
      <w:jc w:val="left"/>
    </w:pPr>
  </w:style>
  <w:style w:type="paragraph" w:customStyle="1" w:styleId="Default">
    <w:name w:val="Default"/>
    <w:rsid w:val="00A646C9"/>
    <w:pPr>
      <w:autoSpaceDE w:val="0"/>
      <w:autoSpaceDN w:val="0"/>
      <w:adjustRightInd w:val="0"/>
      <w:spacing w:line="240" w:lineRule="auto"/>
      <w:ind w:firstLine="0"/>
      <w:jc w:val="left"/>
    </w:pPr>
    <w:rPr>
      <w:rFonts w:ascii="Arial" w:hAnsi="Arial" w:cs="Arial"/>
      <w:color w:val="000000"/>
      <w:sz w:val="24"/>
      <w:szCs w:val="24"/>
    </w:rPr>
  </w:style>
  <w:style w:type="character" w:customStyle="1" w:styleId="previewtxt">
    <w:name w:val="previewtxt"/>
    <w:basedOn w:val="DefaultParagraphFont"/>
    <w:rsid w:val="0019483D"/>
  </w:style>
  <w:style w:type="paragraph" w:customStyle="1" w:styleId="para">
    <w:name w:val="para"/>
    <w:basedOn w:val="Normal"/>
    <w:rsid w:val="00584F6D"/>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citationref">
    <w:name w:val="citationref"/>
    <w:basedOn w:val="DefaultParagraphFont"/>
    <w:rsid w:val="00584F6D"/>
  </w:style>
  <w:style w:type="character" w:styleId="Emphasis">
    <w:name w:val="Emphasis"/>
    <w:basedOn w:val="DefaultParagraphFont"/>
    <w:uiPriority w:val="20"/>
    <w:qFormat/>
    <w:rsid w:val="00584F6D"/>
    <w:rPr>
      <w:i/>
      <w:iCs/>
    </w:rPr>
  </w:style>
  <w:style w:type="character" w:styleId="Strong">
    <w:name w:val="Strong"/>
    <w:basedOn w:val="DefaultParagraphFont"/>
    <w:uiPriority w:val="22"/>
    <w:qFormat/>
    <w:rsid w:val="00584F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95652">
      <w:bodyDiv w:val="1"/>
      <w:marLeft w:val="0"/>
      <w:marRight w:val="0"/>
      <w:marTop w:val="0"/>
      <w:marBottom w:val="0"/>
      <w:divBdr>
        <w:top w:val="none" w:sz="0" w:space="0" w:color="auto"/>
        <w:left w:val="none" w:sz="0" w:space="0" w:color="auto"/>
        <w:bottom w:val="none" w:sz="0" w:space="0" w:color="auto"/>
        <w:right w:val="none" w:sz="0" w:space="0" w:color="auto"/>
      </w:divBdr>
    </w:div>
    <w:div w:id="1476409255">
      <w:bodyDiv w:val="1"/>
      <w:marLeft w:val="0"/>
      <w:marRight w:val="0"/>
      <w:marTop w:val="0"/>
      <w:marBottom w:val="0"/>
      <w:divBdr>
        <w:top w:val="none" w:sz="0" w:space="0" w:color="auto"/>
        <w:left w:val="none" w:sz="0" w:space="0" w:color="auto"/>
        <w:bottom w:val="none" w:sz="0" w:space="0" w:color="auto"/>
        <w:right w:val="none" w:sz="0" w:space="0" w:color="auto"/>
      </w:divBdr>
    </w:div>
    <w:div w:id="189577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linelibrary.wiley.com/action/doSearch?ContribAuthorStored=Siegel%2C+Rebecca+L" TargetMode="External"/><Relationship Id="rId13" Type="http://schemas.openxmlformats.org/officeDocument/2006/relationships/hyperlink" Target="https://08102dwbg-1105-y-https-link-springer-com.mplbci.ekb.eg/referenceworkentry/10.1007/978-3-319-42623-5_15"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08102dwbg-1105-y-https-link-springer-com.mplbci.ekb.eg/referenceworkentry/10.1007/978-3-319-42623-5_15"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08102dwbg-1105-y-https-link-springer-com.mplbci.ekb.eg/referenceworkentry/10.1007/978-3-319-42623-5_1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08102dwbg-1105-y-https-link-springer-com.mplbci.ekb.eg/referenceworkentry/10.1007/978-3-319-42623-5_15"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08102dwbg-1105-y-https-link-springer-com.mplbci.ekb.eg/referenceworkentry/10.1007/978-3-319-42623-5_15"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BA4B7ECABD400F8F71CD3AD303B681"/>
        <w:category>
          <w:name w:val="General"/>
          <w:gallery w:val="placeholder"/>
        </w:category>
        <w:types>
          <w:type w:val="bbPlcHdr"/>
        </w:types>
        <w:behaviors>
          <w:behavior w:val="content"/>
        </w:behaviors>
        <w:guid w:val="{91B495C7-D1EB-4D6B-8B6D-BBDA9629530A}"/>
      </w:docPartPr>
      <w:docPartBody>
        <w:p w:rsidR="0087563C" w:rsidRDefault="00B31401" w:rsidP="00B31401">
          <w:pPr>
            <w:pStyle w:val="A1BA4B7ECABD400F8F71CD3AD303B68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5A5D"/>
    <w:rsid w:val="000365D8"/>
    <w:rsid w:val="002245CA"/>
    <w:rsid w:val="002D0B2F"/>
    <w:rsid w:val="00310A34"/>
    <w:rsid w:val="0040602B"/>
    <w:rsid w:val="0047765E"/>
    <w:rsid w:val="005A4469"/>
    <w:rsid w:val="00677409"/>
    <w:rsid w:val="006E1DAF"/>
    <w:rsid w:val="006F1E0C"/>
    <w:rsid w:val="0073388D"/>
    <w:rsid w:val="0087563C"/>
    <w:rsid w:val="00920BAB"/>
    <w:rsid w:val="009512F1"/>
    <w:rsid w:val="00A55A5D"/>
    <w:rsid w:val="00B31401"/>
    <w:rsid w:val="00BD6F9A"/>
    <w:rsid w:val="00DE44FA"/>
    <w:rsid w:val="00F665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4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BA4B7ECABD400F8F71CD3AD303B681">
    <w:name w:val="A1BA4B7ECABD400F8F71CD3AD303B681"/>
    <w:rsid w:val="00B314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BB5224-69A5-4339-BB48-8124F758A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24</Pages>
  <Words>5474</Words>
  <Characters>31202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Bladder Cancer</vt:lpstr>
    </vt:vector>
  </TitlesOfParts>
  <Company/>
  <LinksUpToDate>false</LinksUpToDate>
  <CharactersWithSpaces>36603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Bladder Cancer</dc:title>
  <dc:subject/>
  <dc:creator>omnia youssef</dc:creator>
  <cp:keywords/>
  <dc:description/>
  <cp:lastModifiedBy>omnia.youssef@fmed.bu.edu.eg</cp:lastModifiedBy>
  <cp:revision>6</cp:revision>
  <dcterms:created xsi:type="dcterms:W3CDTF">2021-05-22T09:13:00Z</dcterms:created>
  <dcterms:modified xsi:type="dcterms:W3CDTF">2021-05-28T23:43:00Z</dcterms:modified>
</cp:coreProperties>
</file>